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85" w:rsidRPr="00274BD7" w:rsidRDefault="0078501C" w:rsidP="00274BD7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 w:rsidRPr="00274BD7">
        <w:rPr>
          <w:rFonts w:ascii="Arial" w:eastAsia="Times New Roman" w:hAnsi="Arial" w:cs="Arial"/>
          <w:b/>
          <w:bCs/>
          <w:i/>
          <w:iCs/>
          <w:sz w:val="29"/>
          <w:szCs w:val="29"/>
        </w:rPr>
        <w:t xml:space="preserve">Common Core State Standards </w:t>
      </w:r>
      <w:r w:rsidR="00AA2260" w:rsidRPr="00274BD7">
        <w:rPr>
          <w:rFonts w:ascii="Arial" w:eastAsia="Times New Roman" w:hAnsi="Arial" w:cs="Arial"/>
          <w:b/>
          <w:bCs/>
          <w:iCs/>
          <w:sz w:val="29"/>
          <w:szCs w:val="29"/>
        </w:rPr>
        <w:t>(</w:t>
      </w:r>
      <w:r w:rsidR="00AA2260" w:rsidRPr="00274BD7">
        <w:rPr>
          <w:rFonts w:ascii="Arial" w:eastAsia="Times New Roman" w:hAnsi="Arial" w:cs="Arial"/>
          <w:b/>
          <w:bCs/>
          <w:i/>
          <w:iCs/>
          <w:sz w:val="29"/>
          <w:szCs w:val="29"/>
        </w:rPr>
        <w:t>CCSS</w:t>
      </w:r>
      <w:r w:rsidR="00AA2260" w:rsidRPr="00274BD7">
        <w:rPr>
          <w:rFonts w:ascii="Arial" w:eastAsia="Times New Roman" w:hAnsi="Arial" w:cs="Arial"/>
          <w:b/>
          <w:bCs/>
          <w:iCs/>
          <w:sz w:val="29"/>
          <w:szCs w:val="29"/>
        </w:rPr>
        <w:t>)</w:t>
      </w:r>
      <w:r w:rsidR="00AA2260">
        <w:rPr>
          <w:rFonts w:ascii="Arial" w:eastAsia="Times New Roman" w:hAnsi="Arial" w:cs="Arial"/>
          <w:b/>
          <w:bCs/>
          <w:iCs/>
          <w:sz w:val="29"/>
          <w:szCs w:val="29"/>
        </w:rPr>
        <w:t xml:space="preserve"> </w:t>
      </w:r>
      <w:r w:rsidRPr="00AA2260">
        <w:rPr>
          <w:rFonts w:ascii="Arial" w:eastAsia="Times New Roman" w:hAnsi="Arial" w:cs="Arial"/>
          <w:b/>
          <w:bCs/>
          <w:iCs/>
          <w:sz w:val="29"/>
          <w:szCs w:val="29"/>
        </w:rPr>
        <w:t>for English Language Arts</w:t>
      </w:r>
    </w:p>
    <w:p w:rsidR="00981885" w:rsidRPr="00274BD7" w:rsidRDefault="00981885" w:rsidP="00274BD7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 w:rsidRPr="00274BD7">
        <w:rPr>
          <w:rFonts w:ascii="Arial" w:eastAsia="Times New Roman" w:hAnsi="Arial" w:cs="Arial"/>
          <w:b/>
          <w:bCs/>
          <w:sz w:val="29"/>
          <w:szCs w:val="29"/>
        </w:rPr>
        <w:t>North Carolina Assessment Specifications Summary</w:t>
      </w:r>
    </w:p>
    <w:p w:rsidR="00981885" w:rsidRPr="00981885" w:rsidRDefault="00981885" w:rsidP="00274B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1885">
        <w:rPr>
          <w:rFonts w:ascii="Times New Roman" w:eastAsia="Times New Roman" w:hAnsi="Times New Roman"/>
          <w:sz w:val="24"/>
          <w:szCs w:val="24"/>
        </w:rPr>
        <w:t> </w:t>
      </w:r>
    </w:p>
    <w:p w:rsidR="00981885" w:rsidRPr="00274BD7" w:rsidRDefault="001850E5" w:rsidP="00274BD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  <w:r w:rsidRPr="00274BD7">
        <w:rPr>
          <w:rFonts w:ascii="Arial" w:eastAsia="Times New Roman" w:hAnsi="Arial" w:cs="Arial"/>
          <w:b/>
          <w:bCs/>
          <w:sz w:val="27"/>
          <w:szCs w:val="27"/>
        </w:rPr>
        <w:t>Grades 3</w:t>
      </w:r>
      <w:r w:rsidR="00F33571">
        <w:rPr>
          <w:rFonts w:ascii="Arial" w:eastAsia="Times New Roman" w:hAnsi="Arial" w:cs="Arial"/>
          <w:b/>
          <w:bCs/>
          <w:sz w:val="27"/>
          <w:szCs w:val="27"/>
        </w:rPr>
        <w:t>–</w:t>
      </w:r>
      <w:r w:rsidRPr="00274BD7">
        <w:rPr>
          <w:rFonts w:ascii="Arial" w:eastAsia="Times New Roman" w:hAnsi="Arial" w:cs="Arial"/>
          <w:b/>
          <w:bCs/>
          <w:sz w:val="27"/>
          <w:szCs w:val="27"/>
        </w:rPr>
        <w:t>8 Assessments</w:t>
      </w:r>
      <w:r w:rsidR="00981885" w:rsidRPr="00274BD7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</w:p>
    <w:p w:rsidR="00981885" w:rsidRPr="00274BD7" w:rsidRDefault="007A2B3A" w:rsidP="00274BD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 w:rsidRPr="00274BD7">
        <w:rPr>
          <w:rFonts w:ascii="Arial" w:eastAsia="Times New Roman" w:hAnsi="Arial" w:cs="Arial"/>
          <w:b/>
          <w:bCs/>
          <w:sz w:val="27"/>
          <w:szCs w:val="27"/>
        </w:rPr>
        <w:t xml:space="preserve">High School </w:t>
      </w:r>
      <w:r w:rsidR="001850E5" w:rsidRPr="00274BD7">
        <w:rPr>
          <w:rFonts w:ascii="Arial" w:eastAsia="Times New Roman" w:hAnsi="Arial" w:cs="Arial"/>
          <w:b/>
          <w:bCs/>
          <w:sz w:val="27"/>
          <w:szCs w:val="27"/>
        </w:rPr>
        <w:t>English II Assessment</w:t>
      </w:r>
      <w:r w:rsidR="00AA2260">
        <w:rPr>
          <w:rFonts w:ascii="Arial" w:eastAsia="Times New Roman" w:hAnsi="Arial" w:cs="Arial"/>
          <w:b/>
          <w:bCs/>
          <w:sz w:val="27"/>
          <w:szCs w:val="27"/>
        </w:rPr>
        <w:t>s</w:t>
      </w:r>
    </w:p>
    <w:p w:rsidR="00274BD7" w:rsidRDefault="00274BD7" w:rsidP="00274BD7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</w:rPr>
      </w:pPr>
    </w:p>
    <w:p w:rsidR="00274BD7" w:rsidRDefault="00274BD7" w:rsidP="00274B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885" w:rsidRPr="00895E90" w:rsidRDefault="00981885" w:rsidP="00274B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95E90">
        <w:rPr>
          <w:rFonts w:ascii="Times New Roman" w:eastAsia="Times New Roman" w:hAnsi="Times New Roman"/>
          <w:b/>
          <w:sz w:val="24"/>
          <w:szCs w:val="24"/>
        </w:rPr>
        <w:t>Purpose of the Assessments</w:t>
      </w:r>
    </w:p>
    <w:p w:rsidR="00981885" w:rsidRPr="00274BD7" w:rsidRDefault="00981885" w:rsidP="00274B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4BD7">
        <w:rPr>
          <w:rFonts w:ascii="Times New Roman" w:eastAsia="Times New Roman" w:hAnsi="Times New Roman"/>
          <w:sz w:val="24"/>
          <w:szCs w:val="24"/>
        </w:rPr>
        <w:t xml:space="preserve">Edition 4 </w:t>
      </w:r>
      <w:r w:rsidR="00274BD7">
        <w:rPr>
          <w:rFonts w:ascii="Times New Roman" w:eastAsia="Times New Roman" w:hAnsi="Times New Roman"/>
          <w:sz w:val="24"/>
          <w:szCs w:val="24"/>
        </w:rPr>
        <w:t xml:space="preserve">Grades 3–8 </w:t>
      </w:r>
      <w:r w:rsidR="001850E5" w:rsidRPr="00274BD7">
        <w:rPr>
          <w:rFonts w:ascii="Times New Roman" w:eastAsia="Times New Roman" w:hAnsi="Times New Roman"/>
          <w:sz w:val="24"/>
          <w:szCs w:val="24"/>
        </w:rPr>
        <w:t>E</w:t>
      </w:r>
      <w:r w:rsidR="006841B6">
        <w:rPr>
          <w:rFonts w:ascii="Times New Roman" w:eastAsia="Times New Roman" w:hAnsi="Times New Roman"/>
          <w:sz w:val="24"/>
          <w:szCs w:val="24"/>
        </w:rPr>
        <w:t>nglish language arts</w:t>
      </w:r>
      <w:r w:rsidR="00AA2260">
        <w:rPr>
          <w:rFonts w:ascii="Times New Roman" w:eastAsia="Times New Roman" w:hAnsi="Times New Roman"/>
          <w:sz w:val="24"/>
          <w:szCs w:val="24"/>
        </w:rPr>
        <w:t xml:space="preserve"> (ELA)</w:t>
      </w:r>
      <w:r w:rsidRPr="00274BD7">
        <w:rPr>
          <w:rFonts w:ascii="Times New Roman" w:eastAsia="Times New Roman" w:hAnsi="Times New Roman"/>
          <w:sz w:val="24"/>
          <w:szCs w:val="24"/>
        </w:rPr>
        <w:t xml:space="preserve"> assessments </w:t>
      </w:r>
      <w:r w:rsidR="00274BD7">
        <w:rPr>
          <w:rFonts w:ascii="Times New Roman" w:eastAsia="Times New Roman" w:hAnsi="Times New Roman"/>
          <w:sz w:val="24"/>
          <w:szCs w:val="24"/>
        </w:rPr>
        <w:t>and the</w:t>
      </w:r>
      <w:r w:rsidR="006841B6">
        <w:rPr>
          <w:rFonts w:ascii="Times New Roman" w:eastAsia="Times New Roman" w:hAnsi="Times New Roman"/>
          <w:sz w:val="24"/>
          <w:szCs w:val="24"/>
        </w:rPr>
        <w:t xml:space="preserve"> High School</w:t>
      </w:r>
      <w:r w:rsidR="00274BD7">
        <w:rPr>
          <w:rFonts w:ascii="Times New Roman" w:eastAsia="Times New Roman" w:hAnsi="Times New Roman"/>
          <w:sz w:val="24"/>
          <w:szCs w:val="24"/>
        </w:rPr>
        <w:t xml:space="preserve"> English II assessments </w:t>
      </w:r>
      <w:r w:rsidRPr="00274BD7">
        <w:rPr>
          <w:rFonts w:ascii="Times New Roman" w:eastAsia="Times New Roman" w:hAnsi="Times New Roman"/>
          <w:sz w:val="24"/>
          <w:szCs w:val="24"/>
        </w:rPr>
        <w:t xml:space="preserve">will measure students’ proficiency on the </w:t>
      </w:r>
      <w:r w:rsidR="0078501C" w:rsidRPr="00274BD7">
        <w:rPr>
          <w:rFonts w:ascii="Times New Roman" w:eastAsia="Times New Roman" w:hAnsi="Times New Roman"/>
          <w:i/>
          <w:iCs/>
          <w:sz w:val="24"/>
          <w:szCs w:val="24"/>
        </w:rPr>
        <w:t>Common Core State Standards</w:t>
      </w:r>
      <w:r w:rsidR="00AA2260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AA2260">
        <w:rPr>
          <w:rFonts w:ascii="Times New Roman" w:eastAsia="Times New Roman" w:hAnsi="Times New Roman"/>
          <w:iCs/>
          <w:sz w:val="24"/>
          <w:szCs w:val="24"/>
        </w:rPr>
        <w:t>(</w:t>
      </w:r>
      <w:r w:rsidR="00AA2260">
        <w:rPr>
          <w:rFonts w:ascii="Times New Roman" w:eastAsia="Times New Roman" w:hAnsi="Times New Roman"/>
          <w:i/>
          <w:iCs/>
          <w:sz w:val="24"/>
          <w:szCs w:val="24"/>
        </w:rPr>
        <w:t>CCSS</w:t>
      </w:r>
      <w:r w:rsidR="00AA2260">
        <w:rPr>
          <w:rFonts w:ascii="Times New Roman" w:eastAsia="Times New Roman" w:hAnsi="Times New Roman"/>
          <w:iCs/>
          <w:sz w:val="24"/>
          <w:szCs w:val="24"/>
        </w:rPr>
        <w:t>)</w:t>
      </w:r>
      <w:r w:rsidR="0078501C" w:rsidRPr="00274BD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78501C" w:rsidRPr="00AA2260">
        <w:rPr>
          <w:rFonts w:ascii="Times New Roman" w:eastAsia="Times New Roman" w:hAnsi="Times New Roman"/>
          <w:iCs/>
          <w:sz w:val="24"/>
          <w:szCs w:val="24"/>
        </w:rPr>
        <w:t>for English Language Arts</w:t>
      </w:r>
      <w:r w:rsidRPr="00274BD7">
        <w:rPr>
          <w:rFonts w:ascii="Times New Roman" w:eastAsia="Times New Roman" w:hAnsi="Times New Roman"/>
          <w:sz w:val="24"/>
          <w:szCs w:val="24"/>
        </w:rPr>
        <w:t xml:space="preserve">, adopted by the North Carolina State Board of Education in </w:t>
      </w:r>
      <w:r w:rsidR="0078501C" w:rsidRPr="00274BD7">
        <w:rPr>
          <w:rFonts w:ascii="Times New Roman" w:eastAsia="Times New Roman" w:hAnsi="Times New Roman"/>
          <w:sz w:val="24"/>
          <w:szCs w:val="24"/>
        </w:rPr>
        <w:t>June 2010</w:t>
      </w:r>
      <w:r w:rsidRPr="00274BD7">
        <w:rPr>
          <w:rFonts w:ascii="Times New Roman" w:eastAsia="Times New Roman" w:hAnsi="Times New Roman"/>
          <w:sz w:val="24"/>
          <w:szCs w:val="24"/>
        </w:rPr>
        <w:t>.</w:t>
      </w:r>
    </w:p>
    <w:p w:rsidR="00981885" w:rsidRDefault="001850E5" w:rsidP="00274B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4BD7">
        <w:rPr>
          <w:rFonts w:ascii="Times New Roman" w:eastAsia="Times New Roman" w:hAnsi="Times New Roman"/>
          <w:sz w:val="24"/>
          <w:szCs w:val="24"/>
        </w:rPr>
        <w:t>Assessment</w:t>
      </w:r>
      <w:r w:rsidR="00981885" w:rsidRPr="00274BD7">
        <w:rPr>
          <w:rFonts w:ascii="Times New Roman" w:eastAsia="Times New Roman" w:hAnsi="Times New Roman"/>
          <w:sz w:val="24"/>
          <w:szCs w:val="24"/>
        </w:rPr>
        <w:t xml:space="preserve"> results will be used for school and district accountability under the North</w:t>
      </w:r>
      <w:r w:rsidR="00274BD7">
        <w:t> </w:t>
      </w:r>
      <w:r w:rsidR="00981885" w:rsidRPr="00274BD7">
        <w:rPr>
          <w:rFonts w:ascii="Times New Roman" w:eastAsia="Times New Roman" w:hAnsi="Times New Roman"/>
          <w:sz w:val="24"/>
          <w:szCs w:val="24"/>
        </w:rPr>
        <w:t>Carolina ABCs Program and for Adequate Yearly Progress (AYP) according to</w:t>
      </w:r>
      <w:r w:rsidR="006646AA">
        <w:rPr>
          <w:rFonts w:ascii="Times New Roman" w:eastAsia="Times New Roman" w:hAnsi="Times New Roman"/>
          <w:sz w:val="24"/>
          <w:szCs w:val="24"/>
        </w:rPr>
        <w:br/>
      </w:r>
      <w:r w:rsidR="00981885" w:rsidRPr="00274BD7">
        <w:rPr>
          <w:rFonts w:ascii="Times New Roman" w:eastAsia="Times New Roman" w:hAnsi="Times New Roman"/>
          <w:sz w:val="24"/>
          <w:szCs w:val="24"/>
        </w:rPr>
        <w:t xml:space="preserve">the </w:t>
      </w:r>
      <w:r w:rsidR="00981885" w:rsidRPr="00274BD7">
        <w:rPr>
          <w:rFonts w:ascii="Times New Roman" w:eastAsia="Times New Roman" w:hAnsi="Times New Roman"/>
          <w:i/>
          <w:iCs/>
          <w:sz w:val="24"/>
          <w:szCs w:val="24"/>
        </w:rPr>
        <w:t xml:space="preserve">No Child Left </w:t>
      </w:r>
      <w:proofErr w:type="gramStart"/>
      <w:r w:rsidR="00981885" w:rsidRPr="00274BD7">
        <w:rPr>
          <w:rFonts w:ascii="Times New Roman" w:eastAsia="Times New Roman" w:hAnsi="Times New Roman"/>
          <w:i/>
          <w:iCs/>
          <w:sz w:val="24"/>
          <w:szCs w:val="24"/>
        </w:rPr>
        <w:t>Behind</w:t>
      </w:r>
      <w:proofErr w:type="gramEnd"/>
      <w:r w:rsidR="00981885" w:rsidRPr="00274BD7">
        <w:rPr>
          <w:rFonts w:ascii="Times New Roman" w:eastAsia="Times New Roman" w:hAnsi="Times New Roman"/>
          <w:i/>
          <w:iCs/>
          <w:sz w:val="24"/>
          <w:szCs w:val="24"/>
        </w:rPr>
        <w:t xml:space="preserve"> Act</w:t>
      </w:r>
      <w:r w:rsidR="00981885" w:rsidRPr="00274BD7">
        <w:rPr>
          <w:rFonts w:ascii="Times New Roman" w:eastAsia="Times New Roman" w:hAnsi="Times New Roman"/>
          <w:sz w:val="24"/>
          <w:szCs w:val="24"/>
        </w:rPr>
        <w:t xml:space="preserve"> of 2001. </w:t>
      </w:r>
    </w:p>
    <w:p w:rsidR="00274BD7" w:rsidRPr="00274BD7" w:rsidRDefault="00274BD7" w:rsidP="00274BD7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885" w:rsidRPr="00895E90" w:rsidRDefault="00981885" w:rsidP="00274B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95E90">
        <w:rPr>
          <w:rFonts w:ascii="Times New Roman" w:eastAsia="Times New Roman" w:hAnsi="Times New Roman"/>
          <w:b/>
          <w:sz w:val="24"/>
          <w:szCs w:val="24"/>
        </w:rPr>
        <w:t>Curriculum Cycle</w:t>
      </w:r>
    </w:p>
    <w:p w:rsidR="00981885" w:rsidRPr="007B70CD" w:rsidRDefault="0078501C" w:rsidP="00274B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0CD">
        <w:rPr>
          <w:rFonts w:ascii="Times New Roman" w:eastAsia="Times New Roman" w:hAnsi="Times New Roman"/>
          <w:sz w:val="24"/>
          <w:szCs w:val="24"/>
        </w:rPr>
        <w:t>June 2010</w:t>
      </w:r>
      <w:r w:rsidR="00981885" w:rsidRPr="007B70CD">
        <w:rPr>
          <w:rFonts w:ascii="Times New Roman" w:eastAsia="Times New Roman" w:hAnsi="Times New Roman"/>
          <w:sz w:val="24"/>
          <w:szCs w:val="24"/>
        </w:rPr>
        <w:t>:</w:t>
      </w:r>
      <w:r w:rsidR="006646AA">
        <w:rPr>
          <w:rFonts w:ascii="Times New Roman" w:eastAsia="Times New Roman" w:hAnsi="Times New Roman"/>
          <w:sz w:val="24"/>
          <w:szCs w:val="24"/>
        </w:rPr>
        <w:tab/>
      </w:r>
      <w:r w:rsidR="00981885" w:rsidRPr="007B70CD">
        <w:rPr>
          <w:rFonts w:ascii="Times New Roman" w:eastAsia="Times New Roman" w:hAnsi="Times New Roman"/>
          <w:sz w:val="24"/>
          <w:szCs w:val="24"/>
        </w:rPr>
        <w:t xml:space="preserve">North Carolina State Board of Education adoption of the </w:t>
      </w:r>
      <w:r w:rsidRPr="007B70CD">
        <w:rPr>
          <w:rFonts w:ascii="Times New Roman" w:eastAsia="Times New Roman" w:hAnsi="Times New Roman"/>
          <w:i/>
          <w:iCs/>
          <w:sz w:val="24"/>
          <w:szCs w:val="24"/>
        </w:rPr>
        <w:t>CCSS</w:t>
      </w:r>
    </w:p>
    <w:p w:rsidR="00981885" w:rsidRPr="007B70CD" w:rsidRDefault="00981885" w:rsidP="00274B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0CD">
        <w:rPr>
          <w:rFonts w:ascii="Times New Roman" w:eastAsia="Times New Roman" w:hAnsi="Times New Roman"/>
          <w:sz w:val="24"/>
          <w:szCs w:val="24"/>
        </w:rPr>
        <w:t>2010–2011:</w:t>
      </w:r>
      <w:r w:rsidR="006646AA">
        <w:rPr>
          <w:rFonts w:ascii="Times New Roman" w:eastAsia="Times New Roman" w:hAnsi="Times New Roman"/>
          <w:sz w:val="24"/>
          <w:szCs w:val="24"/>
        </w:rPr>
        <w:tab/>
      </w:r>
      <w:r w:rsidRPr="007B70CD">
        <w:rPr>
          <w:rFonts w:ascii="Times New Roman" w:eastAsia="Times New Roman" w:hAnsi="Times New Roman"/>
          <w:sz w:val="24"/>
          <w:szCs w:val="24"/>
        </w:rPr>
        <w:t xml:space="preserve">Item development for the </w:t>
      </w:r>
      <w:r w:rsidR="001850E5" w:rsidRPr="007B70CD">
        <w:rPr>
          <w:rFonts w:ascii="Times New Roman" w:eastAsia="Times New Roman" w:hAnsi="Times New Roman"/>
          <w:sz w:val="24"/>
          <w:szCs w:val="24"/>
        </w:rPr>
        <w:t>Next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 </w:t>
      </w:r>
      <w:r w:rsidR="001850E5" w:rsidRPr="007B70CD">
        <w:rPr>
          <w:rFonts w:ascii="Times New Roman" w:eastAsia="Times New Roman" w:hAnsi="Times New Roman"/>
          <w:sz w:val="24"/>
          <w:szCs w:val="24"/>
        </w:rPr>
        <w:t>G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eneration of </w:t>
      </w:r>
      <w:r w:rsidR="001850E5" w:rsidRPr="007B70CD">
        <w:rPr>
          <w:rFonts w:ascii="Times New Roman" w:eastAsia="Times New Roman" w:hAnsi="Times New Roman"/>
          <w:sz w:val="24"/>
          <w:szCs w:val="24"/>
        </w:rPr>
        <w:t>A</w:t>
      </w:r>
      <w:r w:rsidRPr="007B70CD">
        <w:rPr>
          <w:rFonts w:ascii="Times New Roman" w:eastAsia="Times New Roman" w:hAnsi="Times New Roman"/>
          <w:sz w:val="24"/>
          <w:szCs w:val="24"/>
        </w:rPr>
        <w:t>ssessments, Edition 4</w:t>
      </w:r>
    </w:p>
    <w:p w:rsidR="00981885" w:rsidRPr="007B70CD" w:rsidRDefault="00981885" w:rsidP="00274B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0CD">
        <w:rPr>
          <w:rFonts w:ascii="Times New Roman" w:eastAsia="Times New Roman" w:hAnsi="Times New Roman"/>
          <w:sz w:val="24"/>
          <w:szCs w:val="24"/>
        </w:rPr>
        <w:t>2011–2012:</w:t>
      </w:r>
      <w:r w:rsidR="006646AA">
        <w:rPr>
          <w:rFonts w:ascii="Times New Roman" w:eastAsia="Times New Roman" w:hAnsi="Times New Roman"/>
          <w:sz w:val="24"/>
          <w:szCs w:val="24"/>
        </w:rPr>
        <w:tab/>
        <w:t>Administration of s</w:t>
      </w:r>
      <w:r w:rsidRPr="007B70CD">
        <w:rPr>
          <w:rFonts w:ascii="Times New Roman" w:eastAsia="Times New Roman" w:hAnsi="Times New Roman"/>
          <w:sz w:val="24"/>
          <w:szCs w:val="24"/>
        </w:rPr>
        <w:t>tand-alone field tests of Edition 4 assessments</w:t>
      </w:r>
    </w:p>
    <w:p w:rsidR="00981885" w:rsidRPr="007B70CD" w:rsidRDefault="00981885" w:rsidP="00274B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0CD">
        <w:rPr>
          <w:rFonts w:ascii="Times New Roman" w:eastAsia="Times New Roman" w:hAnsi="Times New Roman"/>
          <w:sz w:val="24"/>
          <w:szCs w:val="24"/>
        </w:rPr>
        <w:t>2012–2013:</w:t>
      </w:r>
      <w:r w:rsidR="006646AA">
        <w:rPr>
          <w:rFonts w:ascii="Times New Roman" w:eastAsia="Times New Roman" w:hAnsi="Times New Roman"/>
          <w:sz w:val="24"/>
          <w:szCs w:val="24"/>
        </w:rPr>
        <w:tab/>
      </w:r>
      <w:r w:rsidRPr="007B70CD">
        <w:rPr>
          <w:rFonts w:ascii="Times New Roman" w:eastAsia="Times New Roman" w:hAnsi="Times New Roman"/>
          <w:sz w:val="24"/>
          <w:szCs w:val="24"/>
        </w:rPr>
        <w:t xml:space="preserve">Operational </w:t>
      </w:r>
      <w:r w:rsidR="001850E5" w:rsidRPr="007B70CD">
        <w:rPr>
          <w:rFonts w:ascii="Times New Roman" w:eastAsia="Times New Roman" w:hAnsi="Times New Roman"/>
          <w:sz w:val="24"/>
          <w:szCs w:val="24"/>
        </w:rPr>
        <w:t>administration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 of Edition 4 </w:t>
      </w:r>
      <w:r w:rsidR="001850E5" w:rsidRPr="007B70CD">
        <w:rPr>
          <w:rFonts w:ascii="Times New Roman" w:eastAsia="Times New Roman" w:hAnsi="Times New Roman"/>
          <w:sz w:val="24"/>
          <w:szCs w:val="24"/>
        </w:rPr>
        <w:t xml:space="preserve">assessments 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aligned to the </w:t>
      </w:r>
      <w:r w:rsidR="0078501C" w:rsidRPr="007B70CD">
        <w:rPr>
          <w:rFonts w:ascii="Times New Roman" w:eastAsia="Times New Roman" w:hAnsi="Times New Roman"/>
          <w:i/>
          <w:iCs/>
          <w:sz w:val="24"/>
          <w:szCs w:val="24"/>
        </w:rPr>
        <w:t>CCSS</w:t>
      </w:r>
    </w:p>
    <w:p w:rsidR="007B70CD" w:rsidRPr="007B70CD" w:rsidRDefault="007B70CD" w:rsidP="00274BD7">
      <w:pPr>
        <w:pStyle w:val="ListParagraph"/>
        <w:spacing w:after="0" w:line="240" w:lineRule="auto"/>
        <w:ind w:left="825"/>
        <w:rPr>
          <w:rFonts w:ascii="Times New Roman" w:eastAsia="Times New Roman" w:hAnsi="Times New Roman"/>
          <w:sz w:val="24"/>
          <w:szCs w:val="24"/>
        </w:rPr>
      </w:pPr>
    </w:p>
    <w:p w:rsidR="00981885" w:rsidRPr="00895E90" w:rsidRDefault="00981885" w:rsidP="00274B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95E90">
        <w:rPr>
          <w:rFonts w:ascii="Times New Roman" w:eastAsia="Times New Roman" w:hAnsi="Times New Roman"/>
          <w:b/>
          <w:sz w:val="24"/>
          <w:szCs w:val="24"/>
        </w:rPr>
        <w:t>Standards</w:t>
      </w:r>
    </w:p>
    <w:p w:rsidR="00981885" w:rsidRPr="006646AA" w:rsidRDefault="00981885" w:rsidP="001F239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7B70CD">
        <w:rPr>
          <w:rFonts w:ascii="Times New Roman" w:eastAsia="Times New Roman" w:hAnsi="Times New Roman"/>
          <w:sz w:val="24"/>
          <w:szCs w:val="24"/>
        </w:rPr>
        <w:t xml:space="preserve">The </w:t>
      </w:r>
      <w:r w:rsidR="0078501C" w:rsidRPr="007B70CD">
        <w:rPr>
          <w:rFonts w:ascii="Times New Roman" w:eastAsia="Times New Roman" w:hAnsi="Times New Roman"/>
          <w:i/>
          <w:iCs/>
          <w:sz w:val="24"/>
          <w:szCs w:val="24"/>
        </w:rPr>
        <w:t>CCSS</w:t>
      </w:r>
      <w:r w:rsidRPr="007B70C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are posted at: </w:t>
      </w:r>
      <w:hyperlink r:id="rId8" w:history="1">
        <w:r w:rsidR="0078501C" w:rsidRPr="007B70CD">
          <w:rPr>
            <w:rStyle w:val="Hyperlink"/>
            <w:rFonts w:ascii="Times New Roman" w:eastAsia="Times New Roman" w:hAnsi="Times New Roman"/>
            <w:sz w:val="24"/>
            <w:szCs w:val="24"/>
          </w:rPr>
          <w:t>http://www.ncpublicschools.org/acre/standards/common-core/</w:t>
        </w:r>
      </w:hyperlink>
      <w:r w:rsidR="006646AA">
        <w:t>.</w:t>
      </w:r>
    </w:p>
    <w:p w:rsidR="006646AA" w:rsidRPr="007B70CD" w:rsidRDefault="006646AA" w:rsidP="001F239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Each grade includes a set of content standards.</w:t>
      </w:r>
    </w:p>
    <w:p w:rsidR="001850E5" w:rsidRDefault="0078501C" w:rsidP="001F239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7B70CD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AA2260">
        <w:rPr>
          <w:rFonts w:ascii="Times New Roman" w:eastAsia="Times New Roman" w:hAnsi="Times New Roman"/>
          <w:i/>
          <w:sz w:val="24"/>
          <w:szCs w:val="24"/>
        </w:rPr>
        <w:t>Common Core State Standards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 are divided into strands which address a specific set of College and Career Readiness Anc</w:t>
      </w:r>
      <w:r w:rsidR="006646AA">
        <w:rPr>
          <w:rFonts w:ascii="Times New Roman" w:eastAsia="Times New Roman" w:hAnsi="Times New Roman"/>
          <w:sz w:val="24"/>
          <w:szCs w:val="24"/>
        </w:rPr>
        <w:t xml:space="preserve">hor Standards. </w:t>
      </w:r>
      <w:r w:rsidR="0045752F">
        <w:rPr>
          <w:rFonts w:ascii="Times New Roman" w:eastAsia="Times New Roman" w:hAnsi="Times New Roman"/>
          <w:sz w:val="24"/>
          <w:szCs w:val="24"/>
        </w:rPr>
        <w:t xml:space="preserve"> </w:t>
      </w:r>
      <w:r w:rsidR="006646AA">
        <w:rPr>
          <w:rFonts w:ascii="Times New Roman" w:eastAsia="Times New Roman" w:hAnsi="Times New Roman"/>
          <w:sz w:val="24"/>
          <w:szCs w:val="24"/>
        </w:rPr>
        <w:t>These strands are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 reading, writing, </w:t>
      </w:r>
      <w:proofErr w:type="gramStart"/>
      <w:r w:rsidRPr="007B70CD">
        <w:rPr>
          <w:rFonts w:ascii="Times New Roman" w:eastAsia="Times New Roman" w:hAnsi="Times New Roman"/>
          <w:sz w:val="24"/>
          <w:szCs w:val="24"/>
        </w:rPr>
        <w:t>speaking</w:t>
      </w:r>
      <w:proofErr w:type="gramEnd"/>
      <w:r w:rsidRPr="007B70CD">
        <w:rPr>
          <w:rFonts w:ascii="Times New Roman" w:eastAsia="Times New Roman" w:hAnsi="Times New Roman"/>
          <w:sz w:val="24"/>
          <w:szCs w:val="24"/>
        </w:rPr>
        <w:t xml:space="preserve">, </w:t>
      </w:r>
      <w:r w:rsidR="005F0902" w:rsidRPr="007B70CD">
        <w:rPr>
          <w:rFonts w:ascii="Times New Roman" w:eastAsia="Times New Roman" w:hAnsi="Times New Roman"/>
          <w:sz w:val="24"/>
          <w:szCs w:val="24"/>
        </w:rPr>
        <w:t>listening, and language.</w:t>
      </w:r>
    </w:p>
    <w:p w:rsidR="007B70CD" w:rsidRDefault="0045752F" w:rsidP="000866CF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0866CF">
        <w:rPr>
          <w:rFonts w:ascii="Times New Roman" w:eastAsia="Times New Roman" w:hAnsi="Times New Roman"/>
          <w:sz w:val="24"/>
          <w:szCs w:val="24"/>
        </w:rPr>
        <w:t>North Carolina will teach and assess a common set of standards for the second-year high school co</w:t>
      </w:r>
      <w:r w:rsidR="00596E68" w:rsidRPr="000866CF">
        <w:rPr>
          <w:rFonts w:ascii="Times New Roman" w:eastAsia="Times New Roman" w:hAnsi="Times New Roman"/>
          <w:sz w:val="24"/>
          <w:szCs w:val="24"/>
        </w:rPr>
        <w:t xml:space="preserve">urse of English language arts. </w:t>
      </w:r>
    </w:p>
    <w:p w:rsidR="000866CF" w:rsidRPr="000866CF" w:rsidRDefault="000866CF" w:rsidP="000866C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81885" w:rsidRPr="00895E90" w:rsidRDefault="00981885" w:rsidP="00274B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95E90">
        <w:rPr>
          <w:rFonts w:ascii="Times New Roman" w:eastAsia="Times New Roman" w:hAnsi="Times New Roman"/>
          <w:b/>
          <w:sz w:val="24"/>
          <w:szCs w:val="24"/>
        </w:rPr>
        <w:t>Prioritization of Standards</w:t>
      </w:r>
    </w:p>
    <w:p w:rsidR="00981885" w:rsidRPr="007B70CD" w:rsidRDefault="00981885" w:rsidP="001F239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7B70CD">
        <w:rPr>
          <w:rFonts w:ascii="Times New Roman" w:eastAsia="Times New Roman" w:hAnsi="Times New Roman"/>
          <w:sz w:val="24"/>
          <w:szCs w:val="24"/>
        </w:rPr>
        <w:t xml:space="preserve">The North Carolina Department of Public Instruction invited teachers to </w:t>
      </w:r>
      <w:r w:rsidR="001F239D">
        <w:rPr>
          <w:rFonts w:ascii="Times New Roman" w:eastAsia="Times New Roman" w:hAnsi="Times New Roman"/>
          <w:sz w:val="24"/>
          <w:szCs w:val="24"/>
        </w:rPr>
        <w:t>collaborate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 and develop recommendations for</w:t>
      </w:r>
      <w:r w:rsidR="0045752F">
        <w:rPr>
          <w:rFonts w:ascii="Times New Roman" w:eastAsia="Times New Roman" w:hAnsi="Times New Roman"/>
          <w:sz w:val="24"/>
          <w:szCs w:val="24"/>
        </w:rPr>
        <w:t xml:space="preserve"> a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 prioritization of </w:t>
      </w:r>
      <w:r w:rsidR="0045752F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7B70CD">
        <w:rPr>
          <w:rFonts w:ascii="Times New Roman" w:eastAsia="Times New Roman" w:hAnsi="Times New Roman"/>
          <w:sz w:val="24"/>
          <w:szCs w:val="24"/>
        </w:rPr>
        <w:t>standards</w:t>
      </w:r>
      <w:r w:rsidR="00766E22">
        <w:rPr>
          <w:rFonts w:ascii="Times New Roman" w:eastAsia="Times New Roman" w:hAnsi="Times New Roman"/>
          <w:sz w:val="24"/>
          <w:szCs w:val="24"/>
        </w:rPr>
        <w:t xml:space="preserve"> indicating the </w:t>
      </w:r>
      <w:r w:rsidRPr="007B70CD">
        <w:rPr>
          <w:rFonts w:ascii="Times New Roman" w:eastAsia="Times New Roman" w:hAnsi="Times New Roman"/>
          <w:sz w:val="24"/>
          <w:szCs w:val="24"/>
        </w:rPr>
        <w:t>relative importance</w:t>
      </w:r>
      <w:r w:rsidR="0045752F">
        <w:rPr>
          <w:rFonts w:ascii="Times New Roman" w:eastAsia="Times New Roman" w:hAnsi="Times New Roman"/>
          <w:sz w:val="24"/>
          <w:szCs w:val="24"/>
        </w:rPr>
        <w:t xml:space="preserve"> of each standard</w:t>
      </w:r>
      <w:r w:rsidRPr="007B70CD">
        <w:rPr>
          <w:rFonts w:ascii="Times New Roman" w:eastAsia="Times New Roman" w:hAnsi="Times New Roman"/>
          <w:sz w:val="24"/>
          <w:szCs w:val="24"/>
        </w:rPr>
        <w:t>,</w:t>
      </w:r>
      <w:r w:rsidR="0045752F">
        <w:rPr>
          <w:rFonts w:ascii="Times New Roman" w:eastAsia="Times New Roman" w:hAnsi="Times New Roman"/>
          <w:sz w:val="24"/>
          <w:szCs w:val="24"/>
        </w:rPr>
        <w:t xml:space="preserve"> the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 </w:t>
      </w:r>
      <w:r w:rsidR="0045752F">
        <w:rPr>
          <w:rFonts w:ascii="Times New Roman" w:eastAsia="Times New Roman" w:hAnsi="Times New Roman"/>
          <w:sz w:val="24"/>
          <w:szCs w:val="24"/>
        </w:rPr>
        <w:t xml:space="preserve">anticipated </w:t>
      </w:r>
      <w:r w:rsidR="00766E22">
        <w:rPr>
          <w:rFonts w:ascii="Times New Roman" w:eastAsia="Times New Roman" w:hAnsi="Times New Roman"/>
          <w:sz w:val="24"/>
          <w:szCs w:val="24"/>
        </w:rPr>
        <w:t>instructional time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, and </w:t>
      </w:r>
      <w:r w:rsidR="0045752F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appropriateness </w:t>
      </w:r>
      <w:r w:rsidR="0045752F">
        <w:rPr>
          <w:rFonts w:ascii="Times New Roman" w:eastAsia="Times New Roman" w:hAnsi="Times New Roman"/>
          <w:sz w:val="24"/>
          <w:szCs w:val="24"/>
        </w:rPr>
        <w:t xml:space="preserve">of the standard 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for </w:t>
      </w:r>
      <w:r w:rsidR="0045752F">
        <w:rPr>
          <w:rFonts w:ascii="Times New Roman" w:eastAsia="Times New Roman" w:hAnsi="Times New Roman"/>
          <w:sz w:val="24"/>
          <w:szCs w:val="24"/>
        </w:rPr>
        <w:t xml:space="preserve">a 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multiple-choice item format. Subsequently, curriculum and test development staff from the North Carolina Department of Public Instruction met to review the results from the teacher panels and </w:t>
      </w:r>
      <w:r w:rsidR="001F239D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7B70CD">
        <w:rPr>
          <w:rFonts w:ascii="Times New Roman" w:eastAsia="Times New Roman" w:hAnsi="Times New Roman"/>
          <w:sz w:val="24"/>
          <w:szCs w:val="24"/>
        </w:rPr>
        <w:t xml:space="preserve">develop weight distributions across the domains for each grade level. </w:t>
      </w:r>
      <w:r w:rsidRPr="00895E90">
        <w:rPr>
          <w:rFonts w:ascii="Times New Roman" w:eastAsia="Times New Roman" w:hAnsi="Times New Roman"/>
          <w:sz w:val="24"/>
          <w:szCs w:val="24"/>
        </w:rPr>
        <w:t xml:space="preserve">See Tables </w:t>
      </w:r>
      <w:r w:rsidR="00895E90" w:rsidRPr="00895E90">
        <w:rPr>
          <w:rFonts w:ascii="Times New Roman" w:eastAsia="Times New Roman" w:hAnsi="Times New Roman"/>
          <w:sz w:val="24"/>
          <w:szCs w:val="24"/>
        </w:rPr>
        <w:t>1–4</w:t>
      </w:r>
      <w:r w:rsidR="001F239D" w:rsidRPr="00895E90">
        <w:rPr>
          <w:rFonts w:ascii="Times New Roman" w:eastAsia="Times New Roman" w:hAnsi="Times New Roman"/>
          <w:sz w:val="24"/>
          <w:szCs w:val="24"/>
        </w:rPr>
        <w:t xml:space="preserve"> </w:t>
      </w:r>
      <w:r w:rsidR="00320556" w:rsidRPr="00895E90">
        <w:rPr>
          <w:rFonts w:ascii="Times New Roman" w:eastAsia="Times New Roman" w:hAnsi="Times New Roman"/>
          <w:sz w:val="24"/>
          <w:szCs w:val="24"/>
        </w:rPr>
        <w:t>on the next page</w:t>
      </w:r>
      <w:r w:rsidRPr="00895E90">
        <w:rPr>
          <w:rFonts w:ascii="Times New Roman" w:eastAsia="Times New Roman" w:hAnsi="Times New Roman"/>
          <w:sz w:val="24"/>
          <w:szCs w:val="24"/>
        </w:rPr>
        <w:t>.</w:t>
      </w:r>
    </w:p>
    <w:p w:rsidR="000C20E2" w:rsidRPr="00320556" w:rsidRDefault="00320556" w:rsidP="00274BD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column"/>
      </w:r>
      <w:r w:rsidR="00DF0ABE" w:rsidRPr="00320556">
        <w:rPr>
          <w:rFonts w:ascii="Times New Roman" w:eastAsia="Times New Roman" w:hAnsi="Times New Roman"/>
          <w:i/>
          <w:sz w:val="24"/>
          <w:szCs w:val="24"/>
        </w:rPr>
        <w:lastRenderedPageBreak/>
        <w:t>Table 1</w:t>
      </w:r>
    </w:p>
    <w:p w:rsidR="00320556" w:rsidRDefault="00320556" w:rsidP="00274BD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Weight Distributions for Grades 3</w:t>
      </w:r>
      <w:r>
        <w:rPr>
          <w:rFonts w:ascii="Times New Roman" w:eastAsia="Times New Roman" w:hAnsi="Times New Roman"/>
          <w:i/>
          <w:sz w:val="24"/>
          <w:szCs w:val="24"/>
        </w:rPr>
        <w:t>–4</w:t>
      </w:r>
    </w:p>
    <w:p w:rsidR="00895E90" w:rsidRDefault="00895E90" w:rsidP="00274BD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2476"/>
        <w:gridCol w:w="2477"/>
      </w:tblGrid>
      <w:tr w:rsidR="00320556" w:rsidRPr="00F45BA5" w:rsidTr="00895E90">
        <w:tc>
          <w:tcPr>
            <w:tcW w:w="4515" w:type="dxa"/>
          </w:tcPr>
          <w:p w:rsidR="00320556" w:rsidRPr="00F45BA5" w:rsidRDefault="00320556" w:rsidP="00895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476" w:type="dxa"/>
          </w:tcPr>
          <w:p w:rsidR="00320556" w:rsidRPr="00F45BA5" w:rsidRDefault="00320556" w:rsidP="0089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Grade 3</w:t>
            </w:r>
          </w:p>
        </w:tc>
        <w:tc>
          <w:tcPr>
            <w:tcW w:w="2477" w:type="dxa"/>
          </w:tcPr>
          <w:p w:rsidR="00320556" w:rsidRPr="00F45BA5" w:rsidRDefault="00320556" w:rsidP="0089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Grade 4</w:t>
            </w:r>
          </w:p>
        </w:tc>
      </w:tr>
      <w:tr w:rsidR="00320556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320556" w:rsidRPr="00F45BA5" w:rsidRDefault="00320556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Reading for Literature</w:t>
            </w:r>
          </w:p>
        </w:tc>
        <w:tc>
          <w:tcPr>
            <w:tcW w:w="2476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32–37%</w:t>
            </w:r>
          </w:p>
        </w:tc>
        <w:tc>
          <w:tcPr>
            <w:tcW w:w="2477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30–34%</w:t>
            </w:r>
          </w:p>
        </w:tc>
      </w:tr>
      <w:tr w:rsidR="00320556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320556" w:rsidRPr="00F45BA5" w:rsidRDefault="00320556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Reading for Information</w:t>
            </w:r>
          </w:p>
        </w:tc>
        <w:tc>
          <w:tcPr>
            <w:tcW w:w="2476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41–45%</w:t>
            </w:r>
          </w:p>
        </w:tc>
        <w:tc>
          <w:tcPr>
            <w:tcW w:w="2477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45–49%</w:t>
            </w:r>
          </w:p>
        </w:tc>
      </w:tr>
      <w:tr w:rsidR="00320556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320556" w:rsidRPr="00F45BA5" w:rsidRDefault="00320556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Reading Foundation Skills</w:t>
            </w:r>
          </w:p>
        </w:tc>
        <w:tc>
          <w:tcPr>
            <w:tcW w:w="2476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77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320556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320556" w:rsidRPr="00F45BA5" w:rsidRDefault="00320556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476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77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320556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320556" w:rsidRPr="00F45BA5" w:rsidRDefault="00320556" w:rsidP="0089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Speaking and Listening</w:t>
            </w:r>
          </w:p>
        </w:tc>
        <w:tc>
          <w:tcPr>
            <w:tcW w:w="2476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77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320556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320556" w:rsidRPr="00F45BA5" w:rsidRDefault="00320556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2476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20–24%</w:t>
            </w:r>
          </w:p>
        </w:tc>
        <w:tc>
          <w:tcPr>
            <w:tcW w:w="2477" w:type="dxa"/>
            <w:vAlign w:val="bottom"/>
          </w:tcPr>
          <w:p w:rsidR="00320556" w:rsidRPr="00F45BA5" w:rsidRDefault="00320556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19–21%</w:t>
            </w:r>
          </w:p>
        </w:tc>
      </w:tr>
      <w:tr w:rsidR="000631BE" w:rsidRPr="00F45BA5" w:rsidTr="00895E90">
        <w:tc>
          <w:tcPr>
            <w:tcW w:w="4515" w:type="dxa"/>
          </w:tcPr>
          <w:p w:rsidR="000631BE" w:rsidRPr="00F45BA5" w:rsidRDefault="000631BE" w:rsidP="00895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76" w:type="dxa"/>
          </w:tcPr>
          <w:p w:rsidR="000631BE" w:rsidRPr="00F45BA5" w:rsidRDefault="000631BE" w:rsidP="00895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477" w:type="dxa"/>
          </w:tcPr>
          <w:p w:rsidR="000631BE" w:rsidRPr="00F45BA5" w:rsidRDefault="000631BE" w:rsidP="00895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0C20E2" w:rsidRDefault="000C20E2" w:rsidP="000631BE">
      <w:pPr>
        <w:tabs>
          <w:tab w:val="left" w:pos="355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95E90" w:rsidRPr="007B70CD" w:rsidRDefault="00895E90" w:rsidP="000631BE">
      <w:pPr>
        <w:tabs>
          <w:tab w:val="left" w:pos="355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C20E2" w:rsidRDefault="000631BE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Table 2</w:t>
      </w:r>
    </w:p>
    <w:p w:rsidR="000631BE" w:rsidRDefault="000631BE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Weight Distributions for Grade 5</w:t>
      </w:r>
    </w:p>
    <w:p w:rsidR="00895E90" w:rsidRPr="007B70CD" w:rsidRDefault="00895E90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4953"/>
      </w:tblGrid>
      <w:tr w:rsidR="000631BE" w:rsidRPr="00F45BA5" w:rsidTr="00895E90">
        <w:tc>
          <w:tcPr>
            <w:tcW w:w="4515" w:type="dxa"/>
          </w:tcPr>
          <w:p w:rsidR="000631BE" w:rsidRPr="00F45BA5" w:rsidRDefault="00895E90" w:rsidP="00063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4953" w:type="dxa"/>
          </w:tcPr>
          <w:p w:rsidR="000631BE" w:rsidRPr="00F45BA5" w:rsidRDefault="000631BE" w:rsidP="00063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Grade 5</w:t>
            </w:r>
          </w:p>
        </w:tc>
      </w:tr>
      <w:tr w:rsidR="000631BE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0631BE" w:rsidRPr="00F45BA5" w:rsidRDefault="000631BE" w:rsidP="00063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Reading for Literature</w:t>
            </w:r>
          </w:p>
        </w:tc>
        <w:tc>
          <w:tcPr>
            <w:tcW w:w="4953" w:type="dxa"/>
            <w:vAlign w:val="bottom"/>
          </w:tcPr>
          <w:p w:rsidR="000631BE" w:rsidRPr="00F45BA5" w:rsidRDefault="000631BE" w:rsidP="000631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36–40%</w:t>
            </w:r>
          </w:p>
        </w:tc>
      </w:tr>
      <w:tr w:rsidR="000631BE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0631BE" w:rsidRPr="00F45BA5" w:rsidRDefault="000631BE" w:rsidP="00063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Reading for Information</w:t>
            </w:r>
          </w:p>
        </w:tc>
        <w:tc>
          <w:tcPr>
            <w:tcW w:w="4953" w:type="dxa"/>
            <w:vAlign w:val="bottom"/>
          </w:tcPr>
          <w:p w:rsidR="000631BE" w:rsidRPr="00F45BA5" w:rsidRDefault="000631BE" w:rsidP="000631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29–33%</w:t>
            </w:r>
          </w:p>
        </w:tc>
      </w:tr>
      <w:tr w:rsidR="000631BE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0631BE" w:rsidRPr="00F45BA5" w:rsidRDefault="000631BE" w:rsidP="00063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Reading Foundation Skills</w:t>
            </w:r>
          </w:p>
        </w:tc>
        <w:tc>
          <w:tcPr>
            <w:tcW w:w="4953" w:type="dxa"/>
            <w:vAlign w:val="bottom"/>
          </w:tcPr>
          <w:p w:rsidR="000631BE" w:rsidRPr="00F45BA5" w:rsidRDefault="000631BE" w:rsidP="000631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0631BE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0631BE" w:rsidRPr="00F45BA5" w:rsidRDefault="000631BE" w:rsidP="00063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4953" w:type="dxa"/>
            <w:vAlign w:val="bottom"/>
          </w:tcPr>
          <w:p w:rsidR="000631BE" w:rsidRPr="00F45BA5" w:rsidRDefault="000631BE" w:rsidP="000631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0631BE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0631BE" w:rsidRPr="00F45BA5" w:rsidRDefault="000631BE" w:rsidP="0006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Speaking and Listening</w:t>
            </w:r>
          </w:p>
        </w:tc>
        <w:tc>
          <w:tcPr>
            <w:tcW w:w="4953" w:type="dxa"/>
            <w:vAlign w:val="bottom"/>
          </w:tcPr>
          <w:p w:rsidR="000631BE" w:rsidRPr="00F45BA5" w:rsidRDefault="000631BE" w:rsidP="000631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0631BE" w:rsidRPr="00F45BA5" w:rsidTr="00895E90">
        <w:tc>
          <w:tcPr>
            <w:tcW w:w="4515" w:type="dxa"/>
            <w:tcMar>
              <w:left w:w="360" w:type="dxa"/>
              <w:right w:w="115" w:type="dxa"/>
            </w:tcMar>
            <w:vAlign w:val="bottom"/>
          </w:tcPr>
          <w:p w:rsidR="000631BE" w:rsidRPr="00F45BA5" w:rsidRDefault="000631BE" w:rsidP="00063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4953" w:type="dxa"/>
            <w:vAlign w:val="bottom"/>
          </w:tcPr>
          <w:p w:rsidR="000631BE" w:rsidRPr="00F45BA5" w:rsidRDefault="000631BE" w:rsidP="000631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29–31%</w:t>
            </w:r>
          </w:p>
        </w:tc>
      </w:tr>
      <w:tr w:rsidR="000631BE" w:rsidRPr="00F45BA5" w:rsidTr="00895E90">
        <w:tc>
          <w:tcPr>
            <w:tcW w:w="4515" w:type="dxa"/>
          </w:tcPr>
          <w:p w:rsidR="000631BE" w:rsidRPr="00F45BA5" w:rsidRDefault="000631BE" w:rsidP="00063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953" w:type="dxa"/>
          </w:tcPr>
          <w:p w:rsidR="000631BE" w:rsidRPr="00F45BA5" w:rsidRDefault="000631BE" w:rsidP="000631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0631BE" w:rsidRDefault="000631BE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95E90" w:rsidRDefault="00895E90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95E90" w:rsidRDefault="00895E90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Table 3</w:t>
      </w:r>
    </w:p>
    <w:p w:rsidR="000C20E2" w:rsidRDefault="00895E90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Weight Distributions for Grades 6–8</w:t>
      </w:r>
    </w:p>
    <w:p w:rsidR="00895E90" w:rsidRDefault="00895E90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2021"/>
        <w:gridCol w:w="2022"/>
        <w:gridCol w:w="1838"/>
      </w:tblGrid>
      <w:tr w:rsidR="00895E90" w:rsidRPr="00F45BA5" w:rsidTr="00895E90">
        <w:tc>
          <w:tcPr>
            <w:tcW w:w="3695" w:type="dxa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2021" w:type="dxa"/>
          </w:tcPr>
          <w:p w:rsidR="00895E90" w:rsidRPr="00F45BA5" w:rsidRDefault="00895E90" w:rsidP="0089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Grade 6</w:t>
            </w:r>
          </w:p>
        </w:tc>
        <w:tc>
          <w:tcPr>
            <w:tcW w:w="2022" w:type="dxa"/>
          </w:tcPr>
          <w:p w:rsidR="00895E90" w:rsidRPr="00F45BA5" w:rsidRDefault="00895E90" w:rsidP="0089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Grade 7</w:t>
            </w:r>
          </w:p>
        </w:tc>
        <w:tc>
          <w:tcPr>
            <w:tcW w:w="1838" w:type="dxa"/>
          </w:tcPr>
          <w:p w:rsidR="00895E90" w:rsidRPr="00F45BA5" w:rsidRDefault="00895E90" w:rsidP="0089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Grade 8</w:t>
            </w:r>
          </w:p>
        </w:tc>
      </w:tr>
      <w:tr w:rsidR="00895E90" w:rsidRPr="00F45BA5" w:rsidTr="00895E90">
        <w:tc>
          <w:tcPr>
            <w:tcW w:w="3695" w:type="dxa"/>
            <w:tcMar>
              <w:left w:w="360" w:type="dxa"/>
              <w:right w:w="115" w:type="dxa"/>
            </w:tcMar>
            <w:vAlign w:val="bottom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Reading for Literature</w:t>
            </w:r>
          </w:p>
        </w:tc>
        <w:tc>
          <w:tcPr>
            <w:tcW w:w="2021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32–36%</w:t>
            </w:r>
          </w:p>
        </w:tc>
        <w:tc>
          <w:tcPr>
            <w:tcW w:w="2022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34–38%</w:t>
            </w:r>
          </w:p>
        </w:tc>
        <w:tc>
          <w:tcPr>
            <w:tcW w:w="1838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31–35%</w:t>
            </w:r>
          </w:p>
        </w:tc>
      </w:tr>
      <w:tr w:rsidR="00895E90" w:rsidRPr="00F45BA5" w:rsidTr="00895E90">
        <w:tc>
          <w:tcPr>
            <w:tcW w:w="3695" w:type="dxa"/>
            <w:tcMar>
              <w:left w:w="360" w:type="dxa"/>
              <w:right w:w="115" w:type="dxa"/>
            </w:tcMar>
            <w:vAlign w:val="bottom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Reading for Information</w:t>
            </w:r>
          </w:p>
        </w:tc>
        <w:tc>
          <w:tcPr>
            <w:tcW w:w="2021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41–45%</w:t>
            </w:r>
          </w:p>
        </w:tc>
        <w:tc>
          <w:tcPr>
            <w:tcW w:w="2022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41–45%</w:t>
            </w:r>
          </w:p>
        </w:tc>
        <w:tc>
          <w:tcPr>
            <w:tcW w:w="1838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42–46%</w:t>
            </w:r>
          </w:p>
        </w:tc>
      </w:tr>
      <w:tr w:rsidR="00895E90" w:rsidRPr="00F45BA5" w:rsidTr="00895E90">
        <w:tc>
          <w:tcPr>
            <w:tcW w:w="3695" w:type="dxa"/>
            <w:tcMar>
              <w:left w:w="360" w:type="dxa"/>
              <w:right w:w="115" w:type="dxa"/>
            </w:tcMar>
            <w:vAlign w:val="bottom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021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22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838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95E90" w:rsidRPr="00F45BA5" w:rsidTr="00895E90">
        <w:tc>
          <w:tcPr>
            <w:tcW w:w="3695" w:type="dxa"/>
            <w:tcMar>
              <w:left w:w="360" w:type="dxa"/>
              <w:right w:w="115" w:type="dxa"/>
            </w:tcMar>
            <w:vAlign w:val="bottom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Speaking and Listening</w:t>
            </w:r>
          </w:p>
        </w:tc>
        <w:tc>
          <w:tcPr>
            <w:tcW w:w="2021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22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838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95E90" w:rsidRPr="00F45BA5" w:rsidTr="00895E90">
        <w:tc>
          <w:tcPr>
            <w:tcW w:w="3695" w:type="dxa"/>
            <w:tcMar>
              <w:left w:w="360" w:type="dxa"/>
              <w:right w:w="115" w:type="dxa"/>
            </w:tcMar>
            <w:vAlign w:val="bottom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2021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21–25%</w:t>
            </w:r>
          </w:p>
        </w:tc>
        <w:tc>
          <w:tcPr>
            <w:tcW w:w="2022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19–23%</w:t>
            </w:r>
          </w:p>
        </w:tc>
        <w:tc>
          <w:tcPr>
            <w:tcW w:w="1838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20–24%</w:t>
            </w:r>
          </w:p>
        </w:tc>
      </w:tr>
      <w:tr w:rsidR="00895E90" w:rsidRPr="00F45BA5" w:rsidTr="00895E90">
        <w:tc>
          <w:tcPr>
            <w:tcW w:w="3695" w:type="dxa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21" w:type="dxa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022" w:type="dxa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38" w:type="dxa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895E90" w:rsidRDefault="00895E90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95E90" w:rsidRPr="007B70CD" w:rsidRDefault="00895E90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B70CD" w:rsidRDefault="00895E90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Table 4</w:t>
      </w:r>
    </w:p>
    <w:p w:rsidR="00895E90" w:rsidRPr="00895E90" w:rsidRDefault="00895E90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Weight Distributions for High School English II</w:t>
      </w:r>
    </w:p>
    <w:p w:rsidR="007B70CD" w:rsidRPr="007B70CD" w:rsidRDefault="007B70CD" w:rsidP="00274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5863"/>
      </w:tblGrid>
      <w:tr w:rsidR="00895E90" w:rsidRPr="00F45BA5" w:rsidTr="00895E90">
        <w:tc>
          <w:tcPr>
            <w:tcW w:w="3695" w:type="dxa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5863" w:type="dxa"/>
          </w:tcPr>
          <w:p w:rsidR="00895E90" w:rsidRPr="00F45BA5" w:rsidRDefault="00895E90" w:rsidP="0089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English II</w:t>
            </w:r>
          </w:p>
        </w:tc>
      </w:tr>
      <w:tr w:rsidR="00895E90" w:rsidRPr="00F45BA5" w:rsidTr="00895E90">
        <w:tc>
          <w:tcPr>
            <w:tcW w:w="3695" w:type="dxa"/>
            <w:tcMar>
              <w:left w:w="360" w:type="dxa"/>
              <w:right w:w="115" w:type="dxa"/>
            </w:tcMar>
            <w:vAlign w:val="bottom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Reading for Literature</w:t>
            </w:r>
          </w:p>
        </w:tc>
        <w:tc>
          <w:tcPr>
            <w:tcW w:w="5863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30–34%</w:t>
            </w:r>
          </w:p>
        </w:tc>
      </w:tr>
      <w:tr w:rsidR="00895E90" w:rsidRPr="00F45BA5" w:rsidTr="00895E90">
        <w:tc>
          <w:tcPr>
            <w:tcW w:w="3695" w:type="dxa"/>
            <w:tcMar>
              <w:left w:w="360" w:type="dxa"/>
              <w:right w:w="115" w:type="dxa"/>
            </w:tcMar>
            <w:vAlign w:val="bottom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Reading for Information</w:t>
            </w:r>
          </w:p>
        </w:tc>
        <w:tc>
          <w:tcPr>
            <w:tcW w:w="5863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32–38%</w:t>
            </w:r>
          </w:p>
        </w:tc>
      </w:tr>
      <w:tr w:rsidR="00895E90" w:rsidRPr="00F45BA5" w:rsidTr="00895E90">
        <w:tc>
          <w:tcPr>
            <w:tcW w:w="3695" w:type="dxa"/>
            <w:tcMar>
              <w:left w:w="360" w:type="dxa"/>
              <w:right w:w="115" w:type="dxa"/>
            </w:tcMar>
            <w:vAlign w:val="bottom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5863" w:type="dxa"/>
            <w:vAlign w:val="bottom"/>
          </w:tcPr>
          <w:p w:rsidR="00895E90" w:rsidRPr="00F45BA5" w:rsidRDefault="000205BD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14–18%</w:t>
            </w:r>
          </w:p>
        </w:tc>
      </w:tr>
      <w:tr w:rsidR="00895E90" w:rsidRPr="00F45BA5" w:rsidTr="00895E90">
        <w:tc>
          <w:tcPr>
            <w:tcW w:w="3695" w:type="dxa"/>
            <w:tcMar>
              <w:left w:w="360" w:type="dxa"/>
              <w:right w:w="115" w:type="dxa"/>
            </w:tcMar>
            <w:vAlign w:val="bottom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Speaking and Listening</w:t>
            </w:r>
          </w:p>
        </w:tc>
        <w:tc>
          <w:tcPr>
            <w:tcW w:w="5863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95E90" w:rsidRPr="00F45BA5" w:rsidTr="00895E90">
        <w:tc>
          <w:tcPr>
            <w:tcW w:w="3695" w:type="dxa"/>
            <w:tcMar>
              <w:left w:w="360" w:type="dxa"/>
              <w:right w:w="115" w:type="dxa"/>
            </w:tcMar>
            <w:vAlign w:val="bottom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5863" w:type="dxa"/>
            <w:vAlign w:val="bottom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BA5">
              <w:rPr>
                <w:rFonts w:ascii="Times New Roman" w:hAnsi="Times New Roman"/>
                <w:sz w:val="24"/>
                <w:szCs w:val="24"/>
              </w:rPr>
              <w:t>14–18%</w:t>
            </w:r>
          </w:p>
        </w:tc>
      </w:tr>
      <w:tr w:rsidR="00895E90" w:rsidRPr="00F45BA5" w:rsidTr="00895E90">
        <w:tc>
          <w:tcPr>
            <w:tcW w:w="3695" w:type="dxa"/>
          </w:tcPr>
          <w:p w:rsidR="00895E90" w:rsidRPr="00F45BA5" w:rsidRDefault="00895E90" w:rsidP="00895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863" w:type="dxa"/>
          </w:tcPr>
          <w:p w:rsidR="00895E90" w:rsidRPr="00F45BA5" w:rsidRDefault="00895E90" w:rsidP="00895E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5BA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7B70CD" w:rsidRPr="007B70CD" w:rsidRDefault="007B70CD" w:rsidP="00274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A0577" w:rsidRPr="006A0577" w:rsidRDefault="00895E90" w:rsidP="006A05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6A0577" w:rsidRPr="006A0577">
        <w:rPr>
          <w:rFonts w:ascii="Times New Roman" w:eastAsia="Times New Roman" w:hAnsi="Times New Roman"/>
          <w:b/>
          <w:sz w:val="24"/>
          <w:szCs w:val="24"/>
        </w:rPr>
        <w:lastRenderedPageBreak/>
        <w:t>Cognitive Rigor and Item Complexity</w:t>
      </w:r>
    </w:p>
    <w:p w:rsidR="006A0577" w:rsidRPr="006A0577" w:rsidRDefault="006A0577" w:rsidP="006A057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6A0577">
        <w:rPr>
          <w:rFonts w:ascii="Times New Roman" w:eastAsia="Times New Roman" w:hAnsi="Times New Roman"/>
          <w:sz w:val="24"/>
          <w:szCs w:val="24"/>
        </w:rPr>
        <w:t>Assessment</w:t>
      </w:r>
      <w:proofErr w:type="gramEnd"/>
      <w:r w:rsidRPr="006A0577">
        <w:rPr>
          <w:rFonts w:ascii="Times New Roman" w:eastAsia="Times New Roman" w:hAnsi="Times New Roman"/>
          <w:sz w:val="24"/>
          <w:szCs w:val="24"/>
        </w:rPr>
        <w:t xml:space="preserve"> items will be designed, developed, and classified to ensure that the cognitive rigor of the operational test forms align to the cognitive complexity and demands of the </w:t>
      </w:r>
      <w:r w:rsidRPr="006A0577">
        <w:rPr>
          <w:rFonts w:ascii="Times New Roman" w:eastAsia="Times New Roman" w:hAnsi="Times New Roman"/>
          <w:i/>
          <w:sz w:val="24"/>
          <w:szCs w:val="24"/>
        </w:rPr>
        <w:t>Common Core State Standards (</w:t>
      </w:r>
      <w:r w:rsidRPr="006A0577">
        <w:rPr>
          <w:rFonts w:ascii="Times New Roman" w:eastAsia="Times New Roman" w:hAnsi="Times New Roman"/>
          <w:sz w:val="24"/>
          <w:szCs w:val="24"/>
        </w:rPr>
        <w:t>CCSS</w:t>
      </w:r>
      <w:r w:rsidRPr="006A0577">
        <w:rPr>
          <w:rFonts w:ascii="Times New Roman" w:eastAsia="Times New Roman" w:hAnsi="Times New Roman"/>
          <w:i/>
          <w:sz w:val="24"/>
          <w:szCs w:val="24"/>
        </w:rPr>
        <w:t>)</w:t>
      </w:r>
      <w:r w:rsidRPr="006A0577">
        <w:rPr>
          <w:rFonts w:ascii="Times New Roman" w:eastAsia="Times New Roman" w:hAnsi="Times New Roman"/>
          <w:sz w:val="24"/>
          <w:szCs w:val="24"/>
        </w:rPr>
        <w:t xml:space="preserve"> for English Language Arts. These items will require students to not only recall information, but also apply concepts and skills, make decisions, and explain or justify their thinking.</w:t>
      </w:r>
    </w:p>
    <w:p w:rsidR="0018089C" w:rsidRPr="0018089C" w:rsidRDefault="0018089C" w:rsidP="006A05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089C" w:rsidRPr="00895E90" w:rsidRDefault="0018089C" w:rsidP="001808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95E90">
        <w:rPr>
          <w:rFonts w:ascii="Times New Roman" w:eastAsia="Times New Roman" w:hAnsi="Times New Roman"/>
          <w:b/>
          <w:sz w:val="24"/>
          <w:szCs w:val="24"/>
        </w:rPr>
        <w:t>Types of Items</w:t>
      </w:r>
    </w:p>
    <w:p w:rsidR="0018089C" w:rsidRPr="00F33571" w:rsidRDefault="0018089C" w:rsidP="0018089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33571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 xml:space="preserve">Grades </w:t>
      </w:r>
      <w:r w:rsidRPr="00F33571">
        <w:rPr>
          <w:rFonts w:ascii="Times New Roman" w:eastAsia="Times New Roman" w:hAnsi="Times New Roman"/>
          <w:sz w:val="24"/>
          <w:szCs w:val="24"/>
        </w:rPr>
        <w:t>3–8 ELA asses</w:t>
      </w:r>
      <w:r>
        <w:rPr>
          <w:rFonts w:ascii="Times New Roman" w:eastAsia="Times New Roman" w:hAnsi="Times New Roman"/>
          <w:sz w:val="24"/>
          <w:szCs w:val="24"/>
        </w:rPr>
        <w:t>sments will consist of four-response-option multiple-</w:t>
      </w:r>
      <w:r w:rsidRPr="00F33571">
        <w:rPr>
          <w:rFonts w:ascii="Times New Roman" w:eastAsia="Times New Roman" w:hAnsi="Times New Roman"/>
          <w:sz w:val="24"/>
          <w:szCs w:val="24"/>
        </w:rPr>
        <w:t>choice item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F33571">
        <w:rPr>
          <w:rFonts w:ascii="Times New Roman" w:eastAsia="Times New Roman" w:hAnsi="Times New Roman"/>
          <w:sz w:val="24"/>
          <w:szCs w:val="24"/>
        </w:rPr>
        <w:t>. The High School English II</w:t>
      </w:r>
      <w:r>
        <w:rPr>
          <w:rFonts w:ascii="Times New Roman" w:eastAsia="Times New Roman" w:hAnsi="Times New Roman"/>
          <w:sz w:val="24"/>
          <w:szCs w:val="24"/>
        </w:rPr>
        <w:t xml:space="preserve"> assessment will consist of four-response-option multiple-</w:t>
      </w:r>
      <w:r w:rsidRPr="00F33571">
        <w:rPr>
          <w:rFonts w:ascii="Times New Roman" w:eastAsia="Times New Roman" w:hAnsi="Times New Roman"/>
          <w:sz w:val="24"/>
          <w:szCs w:val="24"/>
        </w:rPr>
        <w:t>choice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33571">
        <w:rPr>
          <w:rFonts w:ascii="Times New Roman" w:eastAsia="Times New Roman" w:hAnsi="Times New Roman"/>
          <w:sz w:val="24"/>
          <w:szCs w:val="24"/>
        </w:rPr>
        <w:t>item</w:t>
      </w:r>
      <w:r>
        <w:rPr>
          <w:rFonts w:ascii="Times New Roman" w:eastAsia="Times New Roman" w:hAnsi="Times New Roman"/>
          <w:sz w:val="24"/>
          <w:szCs w:val="24"/>
        </w:rPr>
        <w:t xml:space="preserve">s, technology-enhanced items, and constructed-response items. The </w:t>
      </w:r>
      <w:r w:rsidRPr="00F33571">
        <w:rPr>
          <w:rFonts w:ascii="Times New Roman" w:eastAsia="Times New Roman" w:hAnsi="Times New Roman"/>
          <w:b/>
          <w:i/>
          <w:sz w:val="24"/>
          <w:szCs w:val="24"/>
        </w:rPr>
        <w:t>NCEXTEND2</w:t>
      </w:r>
      <w:r w:rsidRPr="00F33571">
        <w:rPr>
          <w:rFonts w:ascii="Times New Roman" w:eastAsia="Times New Roman" w:hAnsi="Times New Roman"/>
          <w:sz w:val="24"/>
          <w:szCs w:val="24"/>
        </w:rPr>
        <w:t xml:space="preserve"> English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33571">
        <w:rPr>
          <w:rFonts w:ascii="Times New Roman" w:eastAsia="Times New Roman" w:hAnsi="Times New Roman"/>
          <w:sz w:val="24"/>
          <w:szCs w:val="24"/>
        </w:rPr>
        <w:t>II assessments will consi</w:t>
      </w:r>
      <w:r>
        <w:rPr>
          <w:rFonts w:ascii="Times New Roman" w:eastAsia="Times New Roman" w:hAnsi="Times New Roman"/>
          <w:sz w:val="24"/>
          <w:szCs w:val="24"/>
        </w:rPr>
        <w:t>st of three-response-option multiple</w:t>
      </w:r>
      <w:r>
        <w:rPr>
          <w:rFonts w:ascii="Times New Roman" w:eastAsia="Times New Roman" w:hAnsi="Times New Roman"/>
          <w:sz w:val="24"/>
          <w:szCs w:val="24"/>
        </w:rPr>
        <w:noBreakHyphen/>
      </w:r>
      <w:r w:rsidRPr="00F33571">
        <w:rPr>
          <w:rFonts w:ascii="Times New Roman" w:eastAsia="Times New Roman" w:hAnsi="Times New Roman"/>
          <w:sz w:val="24"/>
          <w:szCs w:val="24"/>
        </w:rPr>
        <w:t>choice</w:t>
      </w:r>
      <w:r>
        <w:rPr>
          <w:rFonts w:ascii="Times New Roman" w:eastAsia="Times New Roman" w:hAnsi="Times New Roman"/>
          <w:sz w:val="24"/>
          <w:szCs w:val="24"/>
        </w:rPr>
        <w:t xml:space="preserve"> items, technology-</w:t>
      </w:r>
      <w:r w:rsidRPr="00F33571">
        <w:rPr>
          <w:rFonts w:ascii="Times New Roman" w:eastAsia="Times New Roman" w:hAnsi="Times New Roman"/>
          <w:sz w:val="24"/>
          <w:szCs w:val="24"/>
        </w:rPr>
        <w:t>enhanced</w:t>
      </w:r>
      <w:r>
        <w:rPr>
          <w:rFonts w:ascii="Times New Roman" w:eastAsia="Times New Roman" w:hAnsi="Times New Roman"/>
          <w:sz w:val="24"/>
          <w:szCs w:val="24"/>
        </w:rPr>
        <w:t xml:space="preserve"> items, and constructed-</w:t>
      </w:r>
      <w:r w:rsidRPr="00F33571">
        <w:rPr>
          <w:rFonts w:ascii="Times New Roman" w:eastAsia="Times New Roman" w:hAnsi="Times New Roman"/>
          <w:sz w:val="24"/>
          <w:szCs w:val="24"/>
        </w:rPr>
        <w:t>response items.</w:t>
      </w:r>
    </w:p>
    <w:p w:rsidR="0018089C" w:rsidRPr="00F33571" w:rsidRDefault="0018089C" w:rsidP="0018089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33571"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3357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NCEXTEND1</w:t>
      </w:r>
      <w:r w:rsidRPr="00F335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ELA </w:t>
      </w:r>
      <w:r w:rsidRPr="00F33571">
        <w:rPr>
          <w:rFonts w:ascii="Times New Roman" w:eastAsia="Times New Roman" w:hAnsi="Times New Roman"/>
          <w:sz w:val="24"/>
          <w:szCs w:val="24"/>
        </w:rPr>
        <w:t>alternate assessments will consist of fifteen performance-based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33571">
        <w:rPr>
          <w:rFonts w:ascii="Times New Roman" w:eastAsia="Times New Roman" w:hAnsi="Times New Roman"/>
          <w:sz w:val="24"/>
          <w:szCs w:val="24"/>
        </w:rPr>
        <w:t xml:space="preserve"> multiple-choice items.</w:t>
      </w:r>
    </w:p>
    <w:p w:rsidR="007B70CD" w:rsidRPr="00981885" w:rsidRDefault="007B70CD" w:rsidP="00274BD7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</w:p>
    <w:p w:rsidR="00981885" w:rsidRPr="00895E90" w:rsidRDefault="00981885" w:rsidP="00274B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95E90">
        <w:rPr>
          <w:rFonts w:ascii="Times New Roman" w:eastAsia="Times New Roman" w:hAnsi="Times New Roman"/>
          <w:b/>
          <w:sz w:val="24"/>
          <w:szCs w:val="24"/>
        </w:rPr>
        <w:t>Delivery Mode</w:t>
      </w:r>
    </w:p>
    <w:p w:rsidR="00981885" w:rsidRPr="00694031" w:rsidRDefault="001850E5" w:rsidP="0069403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694031">
        <w:rPr>
          <w:rFonts w:ascii="Times New Roman" w:eastAsia="Times New Roman" w:hAnsi="Times New Roman"/>
          <w:sz w:val="24"/>
          <w:szCs w:val="24"/>
        </w:rPr>
        <w:t>Grades 3</w:t>
      </w:r>
      <w:r w:rsidR="00F33571">
        <w:rPr>
          <w:rFonts w:ascii="Times New Roman" w:eastAsia="Times New Roman" w:hAnsi="Times New Roman"/>
          <w:sz w:val="24"/>
          <w:szCs w:val="24"/>
        </w:rPr>
        <w:t>–</w:t>
      </w:r>
      <w:r w:rsidRPr="00694031">
        <w:rPr>
          <w:rFonts w:ascii="Times New Roman" w:eastAsia="Times New Roman" w:hAnsi="Times New Roman"/>
          <w:sz w:val="24"/>
          <w:szCs w:val="24"/>
        </w:rPr>
        <w:t>8</w:t>
      </w:r>
      <w:r w:rsidR="00981885" w:rsidRPr="00694031">
        <w:rPr>
          <w:rFonts w:ascii="Times New Roman" w:eastAsia="Times New Roman" w:hAnsi="Times New Roman"/>
          <w:sz w:val="24"/>
          <w:szCs w:val="24"/>
        </w:rPr>
        <w:t xml:space="preserve"> </w:t>
      </w:r>
      <w:r w:rsidR="005F0902" w:rsidRPr="00694031">
        <w:rPr>
          <w:rFonts w:ascii="Times New Roman" w:eastAsia="Times New Roman" w:hAnsi="Times New Roman"/>
          <w:sz w:val="24"/>
          <w:szCs w:val="24"/>
        </w:rPr>
        <w:t>ELA assessments</w:t>
      </w:r>
      <w:r w:rsidR="00981885" w:rsidRPr="00694031">
        <w:rPr>
          <w:rFonts w:ascii="Times New Roman" w:eastAsia="Times New Roman" w:hAnsi="Times New Roman"/>
          <w:sz w:val="24"/>
          <w:szCs w:val="24"/>
        </w:rPr>
        <w:t xml:space="preserve"> will be designed for a paper/pencil </w:t>
      </w:r>
      <w:r w:rsidRPr="00694031">
        <w:rPr>
          <w:rFonts w:ascii="Times New Roman" w:eastAsia="Times New Roman" w:hAnsi="Times New Roman"/>
          <w:sz w:val="24"/>
          <w:szCs w:val="24"/>
        </w:rPr>
        <w:t>administration and may have an online administration option</w:t>
      </w:r>
      <w:r w:rsidR="00981885" w:rsidRPr="00694031">
        <w:rPr>
          <w:rFonts w:ascii="Times New Roman" w:eastAsia="Times New Roman" w:hAnsi="Times New Roman"/>
          <w:sz w:val="24"/>
          <w:szCs w:val="24"/>
        </w:rPr>
        <w:t>.</w:t>
      </w:r>
    </w:p>
    <w:p w:rsidR="00981885" w:rsidRPr="00694031" w:rsidRDefault="00981885" w:rsidP="0069403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69403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850E5" w:rsidRPr="00694031">
        <w:rPr>
          <w:rFonts w:ascii="Times New Roman" w:eastAsia="Times New Roman" w:hAnsi="Times New Roman"/>
          <w:sz w:val="24"/>
          <w:szCs w:val="24"/>
        </w:rPr>
        <w:t>High School</w:t>
      </w:r>
      <w:r w:rsidRPr="00694031">
        <w:rPr>
          <w:rFonts w:ascii="Times New Roman" w:eastAsia="Times New Roman" w:hAnsi="Times New Roman"/>
          <w:sz w:val="24"/>
          <w:szCs w:val="24"/>
        </w:rPr>
        <w:t xml:space="preserve"> </w:t>
      </w:r>
      <w:r w:rsidR="005F0902" w:rsidRPr="00694031">
        <w:rPr>
          <w:rFonts w:ascii="Times New Roman" w:eastAsia="Times New Roman" w:hAnsi="Times New Roman"/>
          <w:sz w:val="24"/>
          <w:szCs w:val="24"/>
        </w:rPr>
        <w:t>English II</w:t>
      </w:r>
      <w:r w:rsidRPr="00694031">
        <w:rPr>
          <w:rFonts w:ascii="Times New Roman" w:eastAsia="Times New Roman" w:hAnsi="Times New Roman"/>
          <w:sz w:val="24"/>
          <w:szCs w:val="24"/>
        </w:rPr>
        <w:t xml:space="preserve"> assessment will be designed for an online administration but will also be available in a paper/pencil version.</w:t>
      </w:r>
    </w:p>
    <w:p w:rsidR="00981885" w:rsidRPr="00694031" w:rsidRDefault="00694031" w:rsidP="0069403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N</w:t>
      </w:r>
      <w:r w:rsidR="00981885" w:rsidRPr="0069403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CEXTEND2 </w:t>
      </w:r>
      <w:r w:rsidR="00981885" w:rsidRPr="00694031">
        <w:rPr>
          <w:rFonts w:ascii="Times New Roman" w:eastAsia="Times New Roman" w:hAnsi="Times New Roman"/>
          <w:sz w:val="24"/>
          <w:szCs w:val="24"/>
        </w:rPr>
        <w:t xml:space="preserve">is an alternate assessment for students with disabilities </w:t>
      </w:r>
      <w:r w:rsidR="00A90FE5">
        <w:rPr>
          <w:rFonts w:ascii="Times New Roman" w:eastAsia="Times New Roman" w:hAnsi="Times New Roman"/>
          <w:sz w:val="24"/>
          <w:szCs w:val="24"/>
        </w:rPr>
        <w:t>whose</w:t>
      </w:r>
      <w:r w:rsidR="00981885" w:rsidRPr="00694031">
        <w:rPr>
          <w:rFonts w:ascii="Times New Roman" w:eastAsia="Times New Roman" w:hAnsi="Times New Roman"/>
          <w:sz w:val="24"/>
          <w:szCs w:val="24"/>
        </w:rPr>
        <w:t xml:space="preserve"> IEP specifies an assessment aligned </w:t>
      </w:r>
      <w:r w:rsidR="008041C7" w:rsidRPr="00694031">
        <w:rPr>
          <w:rFonts w:ascii="Times New Roman" w:eastAsia="Times New Roman" w:hAnsi="Times New Roman"/>
          <w:sz w:val="24"/>
          <w:szCs w:val="24"/>
        </w:rPr>
        <w:t>to</w:t>
      </w:r>
      <w:r w:rsidR="00981885" w:rsidRPr="00694031">
        <w:rPr>
          <w:rFonts w:ascii="Times New Roman" w:eastAsia="Times New Roman" w:hAnsi="Times New Roman"/>
          <w:sz w:val="24"/>
          <w:szCs w:val="24"/>
        </w:rPr>
        <w:t xml:space="preserve"> the general content st</w:t>
      </w:r>
      <w:r w:rsidR="00AB5C87" w:rsidRPr="00694031">
        <w:rPr>
          <w:rFonts w:ascii="Times New Roman" w:eastAsia="Times New Roman" w:hAnsi="Times New Roman"/>
          <w:sz w:val="24"/>
          <w:szCs w:val="24"/>
        </w:rPr>
        <w:t xml:space="preserve">andards but based on modified </w:t>
      </w:r>
      <w:r w:rsidR="00A90FE5">
        <w:rPr>
          <w:rFonts w:ascii="Times New Roman" w:eastAsia="Times New Roman" w:hAnsi="Times New Roman"/>
          <w:sz w:val="24"/>
          <w:szCs w:val="24"/>
        </w:rPr>
        <w:t xml:space="preserve">academic </w:t>
      </w:r>
      <w:r w:rsidR="001850E5" w:rsidRPr="00694031">
        <w:rPr>
          <w:rFonts w:ascii="Times New Roman" w:eastAsia="Times New Roman" w:hAnsi="Times New Roman"/>
          <w:sz w:val="24"/>
          <w:szCs w:val="24"/>
        </w:rPr>
        <w:t>achievement</w:t>
      </w:r>
      <w:r w:rsidR="00981885" w:rsidRPr="00694031">
        <w:rPr>
          <w:rFonts w:ascii="Times New Roman" w:eastAsia="Times New Roman" w:hAnsi="Times New Roman"/>
          <w:sz w:val="24"/>
          <w:szCs w:val="24"/>
        </w:rPr>
        <w:t xml:space="preserve"> standards. The </w:t>
      </w:r>
      <w:r w:rsidR="003A787C">
        <w:rPr>
          <w:rFonts w:ascii="Times New Roman" w:eastAsia="Times New Roman" w:hAnsi="Times New Roman"/>
          <w:sz w:val="24"/>
          <w:szCs w:val="24"/>
        </w:rPr>
        <w:t>Grades 3</w:t>
      </w:r>
      <w:r w:rsidR="00F33571">
        <w:rPr>
          <w:rFonts w:ascii="Times New Roman" w:eastAsia="Times New Roman" w:hAnsi="Times New Roman"/>
          <w:sz w:val="24"/>
          <w:szCs w:val="24"/>
        </w:rPr>
        <w:t>–</w:t>
      </w:r>
      <w:r w:rsidR="001850E5" w:rsidRPr="00694031">
        <w:rPr>
          <w:rFonts w:ascii="Times New Roman" w:eastAsia="Times New Roman" w:hAnsi="Times New Roman"/>
          <w:sz w:val="24"/>
          <w:szCs w:val="24"/>
        </w:rPr>
        <w:t xml:space="preserve">8 </w:t>
      </w:r>
      <w:r w:rsidR="00981885" w:rsidRPr="0069403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NCEXTEND2</w:t>
      </w:r>
      <w:r w:rsidR="00981885" w:rsidRPr="00694031">
        <w:rPr>
          <w:rFonts w:ascii="Times New Roman" w:eastAsia="Times New Roman" w:hAnsi="Times New Roman"/>
          <w:sz w:val="24"/>
          <w:szCs w:val="24"/>
        </w:rPr>
        <w:t xml:space="preserve"> </w:t>
      </w:r>
      <w:r w:rsidR="005F0902" w:rsidRPr="00694031">
        <w:rPr>
          <w:rFonts w:ascii="Times New Roman" w:eastAsia="Times New Roman" w:hAnsi="Times New Roman"/>
          <w:sz w:val="24"/>
          <w:szCs w:val="24"/>
        </w:rPr>
        <w:t>ELA assessment</w:t>
      </w:r>
      <w:r w:rsidR="001850E5" w:rsidRPr="00694031">
        <w:rPr>
          <w:rFonts w:ascii="Times New Roman" w:eastAsia="Times New Roman" w:hAnsi="Times New Roman"/>
          <w:sz w:val="24"/>
          <w:szCs w:val="24"/>
        </w:rPr>
        <w:t>s</w:t>
      </w:r>
      <w:r w:rsidR="005F0902" w:rsidRPr="00694031">
        <w:rPr>
          <w:rFonts w:ascii="Times New Roman" w:eastAsia="Times New Roman" w:hAnsi="Times New Roman"/>
          <w:sz w:val="24"/>
          <w:szCs w:val="24"/>
        </w:rPr>
        <w:t xml:space="preserve"> </w:t>
      </w:r>
      <w:r w:rsidR="00981885" w:rsidRPr="00694031">
        <w:rPr>
          <w:rFonts w:ascii="Times New Roman" w:eastAsia="Times New Roman" w:hAnsi="Times New Roman"/>
          <w:sz w:val="24"/>
          <w:szCs w:val="24"/>
        </w:rPr>
        <w:t xml:space="preserve">and the </w:t>
      </w:r>
      <w:r w:rsidR="001850E5" w:rsidRPr="00694031">
        <w:rPr>
          <w:rFonts w:ascii="Times New Roman" w:eastAsia="Times New Roman" w:hAnsi="Times New Roman"/>
          <w:sz w:val="24"/>
          <w:szCs w:val="24"/>
        </w:rPr>
        <w:t>High School</w:t>
      </w:r>
      <w:r w:rsidR="00981885" w:rsidRPr="0069403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NCEXTEND2</w:t>
      </w:r>
      <w:r w:rsidR="005F0902" w:rsidRPr="00694031">
        <w:rPr>
          <w:rFonts w:ascii="Times New Roman" w:eastAsia="Times New Roman" w:hAnsi="Times New Roman"/>
          <w:sz w:val="24"/>
          <w:szCs w:val="24"/>
        </w:rPr>
        <w:t xml:space="preserve"> English II</w:t>
      </w:r>
      <w:r w:rsidR="00981885" w:rsidRPr="00694031">
        <w:rPr>
          <w:rFonts w:ascii="Times New Roman" w:eastAsia="Times New Roman" w:hAnsi="Times New Roman"/>
          <w:sz w:val="24"/>
          <w:szCs w:val="24"/>
        </w:rPr>
        <w:t xml:space="preserve"> assessment </w:t>
      </w:r>
      <w:r w:rsidR="00A90FE5">
        <w:rPr>
          <w:rFonts w:ascii="Times New Roman" w:eastAsia="Times New Roman" w:hAnsi="Times New Roman"/>
          <w:sz w:val="24"/>
          <w:szCs w:val="24"/>
        </w:rPr>
        <w:t>will closely follow the weightings of the standards on the general assessments</w:t>
      </w:r>
      <w:r w:rsidR="00AA2260">
        <w:rPr>
          <w:rFonts w:ascii="Times New Roman" w:eastAsia="Times New Roman" w:hAnsi="Times New Roman"/>
          <w:sz w:val="24"/>
          <w:szCs w:val="24"/>
        </w:rPr>
        <w:t>.</w:t>
      </w:r>
      <w:r w:rsidR="00A90FE5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A90FE5">
        <w:rPr>
          <w:rFonts w:ascii="Times New Roman" w:eastAsia="Times New Roman" w:hAnsi="Times New Roman"/>
          <w:b/>
          <w:i/>
          <w:sz w:val="24"/>
          <w:szCs w:val="24"/>
        </w:rPr>
        <w:t xml:space="preserve">NCEXTEND2 </w:t>
      </w:r>
      <w:r w:rsidR="00A90FE5">
        <w:rPr>
          <w:rFonts w:ascii="Times New Roman" w:eastAsia="Times New Roman" w:hAnsi="Times New Roman"/>
          <w:sz w:val="24"/>
          <w:szCs w:val="24"/>
        </w:rPr>
        <w:t xml:space="preserve">ELA assessments </w:t>
      </w:r>
      <w:r w:rsidR="00981885" w:rsidRPr="00694031">
        <w:rPr>
          <w:rFonts w:ascii="Times New Roman" w:eastAsia="Times New Roman" w:hAnsi="Times New Roman"/>
          <w:sz w:val="24"/>
          <w:szCs w:val="24"/>
        </w:rPr>
        <w:t xml:space="preserve">will be designed for online administrations. </w:t>
      </w:r>
    </w:p>
    <w:p w:rsidR="00981885" w:rsidRPr="00694031" w:rsidRDefault="00981885" w:rsidP="0069403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69403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NCEXTEND1</w:t>
      </w:r>
      <w:r w:rsidRPr="00694031">
        <w:rPr>
          <w:rFonts w:ascii="Times New Roman" w:eastAsia="Times New Roman" w:hAnsi="Times New Roman"/>
          <w:sz w:val="24"/>
          <w:szCs w:val="24"/>
        </w:rPr>
        <w:t xml:space="preserve"> is an alternate assessment designed for students with significant </w:t>
      </w:r>
      <w:r w:rsidR="003A787C">
        <w:rPr>
          <w:rFonts w:ascii="Times New Roman" w:eastAsia="Times New Roman" w:hAnsi="Times New Roman"/>
          <w:sz w:val="24"/>
          <w:szCs w:val="24"/>
        </w:rPr>
        <w:br/>
      </w:r>
      <w:r w:rsidRPr="00694031">
        <w:rPr>
          <w:rFonts w:ascii="Times New Roman" w:eastAsia="Times New Roman" w:hAnsi="Times New Roman"/>
          <w:sz w:val="24"/>
          <w:szCs w:val="24"/>
        </w:rPr>
        <w:t xml:space="preserve">cognitive disabilities </w:t>
      </w:r>
      <w:proofErr w:type="gramStart"/>
      <w:r w:rsidRPr="00694031">
        <w:rPr>
          <w:rFonts w:ascii="Times New Roman" w:eastAsia="Times New Roman" w:hAnsi="Times New Roman"/>
          <w:sz w:val="24"/>
          <w:szCs w:val="24"/>
        </w:rPr>
        <w:t>whose</w:t>
      </w:r>
      <w:proofErr w:type="gramEnd"/>
      <w:r w:rsidRPr="00694031">
        <w:rPr>
          <w:rFonts w:ascii="Times New Roman" w:eastAsia="Times New Roman" w:hAnsi="Times New Roman"/>
          <w:sz w:val="24"/>
          <w:szCs w:val="24"/>
        </w:rPr>
        <w:t xml:space="preserve"> IEP specifies an assessment aligned </w:t>
      </w:r>
      <w:r w:rsidR="008041C7" w:rsidRPr="00694031">
        <w:rPr>
          <w:rFonts w:ascii="Times New Roman" w:eastAsia="Times New Roman" w:hAnsi="Times New Roman"/>
          <w:sz w:val="24"/>
          <w:szCs w:val="24"/>
        </w:rPr>
        <w:t>to</w:t>
      </w:r>
      <w:r w:rsidRPr="00694031">
        <w:rPr>
          <w:rFonts w:ascii="Times New Roman" w:eastAsia="Times New Roman" w:hAnsi="Times New Roman"/>
          <w:sz w:val="24"/>
          <w:szCs w:val="24"/>
        </w:rPr>
        <w:t xml:space="preserve"> </w:t>
      </w:r>
      <w:r w:rsidR="00A90FE5">
        <w:rPr>
          <w:rFonts w:ascii="Times New Roman" w:eastAsia="Times New Roman" w:hAnsi="Times New Roman"/>
          <w:sz w:val="24"/>
          <w:szCs w:val="24"/>
        </w:rPr>
        <w:t xml:space="preserve">the </w:t>
      </w:r>
      <w:r w:rsidR="008041C7" w:rsidRPr="00AA2260">
        <w:rPr>
          <w:rFonts w:ascii="Times New Roman" w:eastAsia="Times New Roman" w:hAnsi="Times New Roman"/>
          <w:sz w:val="24"/>
          <w:szCs w:val="24"/>
        </w:rPr>
        <w:t>E</w:t>
      </w:r>
      <w:r w:rsidRPr="00AA2260">
        <w:rPr>
          <w:rFonts w:ascii="Times New Roman" w:eastAsia="Times New Roman" w:hAnsi="Times New Roman"/>
          <w:sz w:val="24"/>
          <w:szCs w:val="24"/>
        </w:rPr>
        <w:t xml:space="preserve">xtended </w:t>
      </w:r>
      <w:r w:rsidR="008041C7" w:rsidRPr="00A90FE5">
        <w:rPr>
          <w:rFonts w:ascii="Times New Roman" w:eastAsia="Times New Roman" w:hAnsi="Times New Roman"/>
          <w:i/>
          <w:sz w:val="24"/>
          <w:szCs w:val="24"/>
        </w:rPr>
        <w:t>Common Core State S</w:t>
      </w:r>
      <w:r w:rsidRPr="00A90FE5">
        <w:rPr>
          <w:rFonts w:ascii="Times New Roman" w:eastAsia="Times New Roman" w:hAnsi="Times New Roman"/>
          <w:i/>
          <w:sz w:val="24"/>
          <w:szCs w:val="24"/>
        </w:rPr>
        <w:t>tandards</w:t>
      </w:r>
      <w:r w:rsidRPr="00694031">
        <w:rPr>
          <w:rFonts w:ascii="Times New Roman" w:eastAsia="Times New Roman" w:hAnsi="Times New Roman"/>
          <w:sz w:val="24"/>
          <w:szCs w:val="24"/>
        </w:rPr>
        <w:t xml:space="preserve"> </w:t>
      </w:r>
      <w:r w:rsidR="00AA2260">
        <w:rPr>
          <w:rFonts w:ascii="Times New Roman" w:eastAsia="Times New Roman" w:hAnsi="Times New Roman"/>
          <w:sz w:val="24"/>
          <w:szCs w:val="24"/>
        </w:rPr>
        <w:t>(</w:t>
      </w:r>
      <w:r w:rsidR="00AA2260" w:rsidRPr="00AA2260">
        <w:rPr>
          <w:rFonts w:ascii="Times New Roman" w:eastAsia="Times New Roman" w:hAnsi="Times New Roman"/>
          <w:i/>
          <w:sz w:val="24"/>
          <w:szCs w:val="24"/>
        </w:rPr>
        <w:t>CCSS</w:t>
      </w:r>
      <w:r w:rsidR="00AA226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A2260">
        <w:rPr>
          <w:rFonts w:ascii="Times New Roman" w:eastAsia="Times New Roman" w:hAnsi="Times New Roman"/>
          <w:sz w:val="24"/>
          <w:szCs w:val="24"/>
        </w:rPr>
        <w:t>and</w:t>
      </w:r>
      <w:r w:rsidRPr="00694031">
        <w:rPr>
          <w:rFonts w:ascii="Times New Roman" w:eastAsia="Times New Roman" w:hAnsi="Times New Roman"/>
          <w:sz w:val="24"/>
          <w:szCs w:val="24"/>
        </w:rPr>
        <w:t xml:space="preserve"> based on altern</w:t>
      </w:r>
      <w:r w:rsidR="005F0902" w:rsidRPr="00694031">
        <w:rPr>
          <w:rFonts w:ascii="Times New Roman" w:eastAsia="Times New Roman" w:hAnsi="Times New Roman"/>
          <w:sz w:val="24"/>
          <w:szCs w:val="24"/>
        </w:rPr>
        <w:t xml:space="preserve">ate </w:t>
      </w:r>
      <w:r w:rsidR="00677CEA" w:rsidRPr="00694031">
        <w:rPr>
          <w:rFonts w:ascii="Times New Roman" w:eastAsia="Times New Roman" w:hAnsi="Times New Roman"/>
          <w:sz w:val="24"/>
          <w:szCs w:val="24"/>
        </w:rPr>
        <w:t xml:space="preserve">academic </w:t>
      </w:r>
      <w:r w:rsidR="005F0902" w:rsidRPr="00694031">
        <w:rPr>
          <w:rFonts w:ascii="Times New Roman" w:eastAsia="Times New Roman" w:hAnsi="Times New Roman"/>
          <w:sz w:val="24"/>
          <w:szCs w:val="24"/>
        </w:rPr>
        <w:t xml:space="preserve">achievement </w:t>
      </w:r>
      <w:r w:rsidR="003A787C">
        <w:rPr>
          <w:rFonts w:ascii="Times New Roman" w:eastAsia="Times New Roman" w:hAnsi="Times New Roman"/>
          <w:sz w:val="24"/>
          <w:szCs w:val="24"/>
        </w:rPr>
        <w:br/>
      </w:r>
      <w:r w:rsidR="005F0902" w:rsidRPr="00694031">
        <w:rPr>
          <w:rFonts w:ascii="Times New Roman" w:eastAsia="Times New Roman" w:hAnsi="Times New Roman"/>
          <w:sz w:val="24"/>
          <w:szCs w:val="24"/>
        </w:rPr>
        <w:t xml:space="preserve">standards. </w:t>
      </w:r>
      <w:r w:rsidR="00677CEA" w:rsidRPr="0069403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3A787C">
        <w:rPr>
          <w:rFonts w:ascii="Times New Roman" w:eastAsia="Times New Roman" w:hAnsi="Times New Roman"/>
          <w:b/>
          <w:i/>
          <w:sz w:val="24"/>
          <w:szCs w:val="24"/>
        </w:rPr>
        <w:t>NCEXTEND1</w:t>
      </w:r>
      <w:r w:rsidRPr="00694031">
        <w:rPr>
          <w:rFonts w:ascii="Times New Roman" w:eastAsia="Times New Roman" w:hAnsi="Times New Roman"/>
          <w:sz w:val="24"/>
          <w:szCs w:val="24"/>
        </w:rPr>
        <w:t xml:space="preserve"> </w:t>
      </w:r>
      <w:r w:rsidR="00677CEA" w:rsidRPr="00694031">
        <w:rPr>
          <w:rFonts w:ascii="Times New Roman" w:eastAsia="Times New Roman" w:hAnsi="Times New Roman"/>
          <w:sz w:val="24"/>
          <w:szCs w:val="24"/>
        </w:rPr>
        <w:t xml:space="preserve">ELA </w:t>
      </w:r>
      <w:r w:rsidRPr="00694031">
        <w:rPr>
          <w:rFonts w:ascii="Times New Roman" w:eastAsia="Times New Roman" w:hAnsi="Times New Roman"/>
          <w:sz w:val="24"/>
          <w:szCs w:val="24"/>
        </w:rPr>
        <w:t xml:space="preserve">and </w:t>
      </w:r>
      <w:r w:rsidR="00677CEA" w:rsidRPr="00694031">
        <w:rPr>
          <w:rFonts w:ascii="Times New Roman" w:eastAsia="Times New Roman" w:hAnsi="Times New Roman"/>
          <w:sz w:val="24"/>
          <w:szCs w:val="24"/>
        </w:rPr>
        <w:t xml:space="preserve">High School </w:t>
      </w:r>
      <w:r w:rsidR="005F0902" w:rsidRPr="00694031">
        <w:rPr>
          <w:rFonts w:ascii="Times New Roman" w:eastAsia="Times New Roman" w:hAnsi="Times New Roman"/>
          <w:sz w:val="24"/>
          <w:szCs w:val="24"/>
        </w:rPr>
        <w:t xml:space="preserve">English II </w:t>
      </w:r>
      <w:r w:rsidRPr="00694031">
        <w:rPr>
          <w:rFonts w:ascii="Times New Roman" w:eastAsia="Times New Roman" w:hAnsi="Times New Roman"/>
          <w:sz w:val="24"/>
          <w:szCs w:val="24"/>
        </w:rPr>
        <w:t xml:space="preserve">assessments will be designed </w:t>
      </w:r>
      <w:r w:rsidR="003A787C">
        <w:rPr>
          <w:rFonts w:ascii="Times New Roman" w:eastAsia="Times New Roman" w:hAnsi="Times New Roman"/>
          <w:sz w:val="24"/>
          <w:szCs w:val="24"/>
        </w:rPr>
        <w:t>for paper/</w:t>
      </w:r>
      <w:r w:rsidRPr="00694031">
        <w:rPr>
          <w:rFonts w:ascii="Times New Roman" w:eastAsia="Times New Roman" w:hAnsi="Times New Roman"/>
          <w:sz w:val="24"/>
          <w:szCs w:val="24"/>
        </w:rPr>
        <w:t>pencil administrations with online data entry</w:t>
      </w:r>
      <w:r w:rsidR="003A787C">
        <w:rPr>
          <w:rFonts w:ascii="Times New Roman" w:eastAsia="Times New Roman" w:hAnsi="Times New Roman"/>
          <w:sz w:val="24"/>
          <w:szCs w:val="24"/>
        </w:rPr>
        <w:t xml:space="preserve"> by the assessor</w:t>
      </w:r>
      <w:r w:rsidRPr="00694031">
        <w:rPr>
          <w:rFonts w:ascii="Times New Roman" w:eastAsia="Times New Roman" w:hAnsi="Times New Roman"/>
          <w:sz w:val="24"/>
          <w:szCs w:val="24"/>
        </w:rPr>
        <w:t>.</w:t>
      </w:r>
    </w:p>
    <w:p w:rsidR="00981885" w:rsidRPr="00981885" w:rsidRDefault="00981885" w:rsidP="00274B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1885">
        <w:rPr>
          <w:rFonts w:ascii="Times New Roman" w:eastAsia="Times New Roman" w:hAnsi="Times New Roman"/>
          <w:sz w:val="24"/>
          <w:szCs w:val="24"/>
        </w:rPr>
        <w:t> </w:t>
      </w:r>
    </w:p>
    <w:p w:rsidR="00243BE7" w:rsidRDefault="00243BE7" w:rsidP="00274BD7">
      <w:pPr>
        <w:spacing w:after="0" w:line="240" w:lineRule="auto"/>
      </w:pPr>
    </w:p>
    <w:sectPr w:rsidR="00243BE7" w:rsidSect="00274BD7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28" w:rsidRDefault="00026828" w:rsidP="001F239D">
      <w:pPr>
        <w:spacing w:after="0" w:line="240" w:lineRule="auto"/>
      </w:pPr>
      <w:r>
        <w:separator/>
      </w:r>
    </w:p>
  </w:endnote>
  <w:endnote w:type="continuationSeparator" w:id="0">
    <w:p w:rsidR="00026828" w:rsidRDefault="00026828" w:rsidP="001F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9D" w:rsidRPr="001F239D" w:rsidRDefault="001F239D" w:rsidP="001F239D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1F239D">
      <w:rPr>
        <w:rFonts w:ascii="Times New Roman" w:hAnsi="Times New Roman"/>
        <w:sz w:val="20"/>
        <w:szCs w:val="20"/>
      </w:rPr>
      <w:t>North Carolina Department of Public Instruction—Division of Accountability Services</w:t>
    </w:r>
    <w:r w:rsidRPr="001F239D">
      <w:rPr>
        <w:rFonts w:ascii="Times New Roman" w:hAnsi="Times New Roman"/>
        <w:sz w:val="20"/>
        <w:szCs w:val="20"/>
      </w:rPr>
      <w:tab/>
    </w:r>
    <w:r w:rsidR="007C2D3A" w:rsidRPr="001F239D">
      <w:rPr>
        <w:rFonts w:ascii="Times New Roman" w:hAnsi="Times New Roman"/>
        <w:sz w:val="20"/>
        <w:szCs w:val="20"/>
      </w:rPr>
      <w:fldChar w:fldCharType="begin"/>
    </w:r>
    <w:r w:rsidRPr="001F239D">
      <w:rPr>
        <w:rFonts w:ascii="Times New Roman" w:hAnsi="Times New Roman"/>
        <w:sz w:val="20"/>
        <w:szCs w:val="20"/>
      </w:rPr>
      <w:instrText xml:space="preserve"> DATE  \@ "MMMM d, yyyy"  \* MERGEFORMAT </w:instrText>
    </w:r>
    <w:r w:rsidR="007C2D3A" w:rsidRPr="001F239D">
      <w:rPr>
        <w:rFonts w:ascii="Times New Roman" w:hAnsi="Times New Roman"/>
        <w:sz w:val="20"/>
        <w:szCs w:val="20"/>
      </w:rPr>
      <w:fldChar w:fldCharType="separate"/>
    </w:r>
    <w:r w:rsidR="00C219D4">
      <w:rPr>
        <w:rFonts w:ascii="Times New Roman" w:hAnsi="Times New Roman"/>
        <w:noProof/>
        <w:sz w:val="20"/>
        <w:szCs w:val="20"/>
      </w:rPr>
      <w:t>December 20, 2011</w:t>
    </w:r>
    <w:r w:rsidR="007C2D3A" w:rsidRPr="001F239D">
      <w:rPr>
        <w:rFonts w:ascii="Times New Roman" w:hAnsi="Times New Roman"/>
        <w:sz w:val="20"/>
        <w:szCs w:val="20"/>
      </w:rPr>
      <w:fldChar w:fldCharType="end"/>
    </w:r>
  </w:p>
  <w:p w:rsidR="001F239D" w:rsidRDefault="001F2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28" w:rsidRDefault="00026828" w:rsidP="001F239D">
      <w:pPr>
        <w:spacing w:after="0" w:line="240" w:lineRule="auto"/>
      </w:pPr>
      <w:r>
        <w:separator/>
      </w:r>
    </w:p>
  </w:footnote>
  <w:footnote w:type="continuationSeparator" w:id="0">
    <w:p w:rsidR="00026828" w:rsidRDefault="00026828" w:rsidP="001F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E04"/>
    <w:multiLevelType w:val="hybridMultilevel"/>
    <w:tmpl w:val="2B54BA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2EB6"/>
    <w:multiLevelType w:val="hybridMultilevel"/>
    <w:tmpl w:val="89120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4E1323"/>
    <w:multiLevelType w:val="hybridMultilevel"/>
    <w:tmpl w:val="A8DA26E4"/>
    <w:lvl w:ilvl="0" w:tplc="04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2EB9"/>
    <w:multiLevelType w:val="hybridMultilevel"/>
    <w:tmpl w:val="4588C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0E492C"/>
    <w:multiLevelType w:val="hybridMultilevel"/>
    <w:tmpl w:val="E390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E0388"/>
    <w:multiLevelType w:val="hybridMultilevel"/>
    <w:tmpl w:val="664840E4"/>
    <w:lvl w:ilvl="0" w:tplc="59105536">
      <w:numFmt w:val="bullet"/>
      <w:lvlText w:val="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E37BF"/>
    <w:multiLevelType w:val="hybridMultilevel"/>
    <w:tmpl w:val="95C88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885"/>
    <w:rsid w:val="000205BD"/>
    <w:rsid w:val="00026828"/>
    <w:rsid w:val="00035DE3"/>
    <w:rsid w:val="000631BE"/>
    <w:rsid w:val="000866CF"/>
    <w:rsid w:val="00097C96"/>
    <w:rsid w:val="000B08CE"/>
    <w:rsid w:val="000C20E2"/>
    <w:rsid w:val="000D280A"/>
    <w:rsid w:val="000F5DDF"/>
    <w:rsid w:val="001116C2"/>
    <w:rsid w:val="0018089C"/>
    <w:rsid w:val="001850E5"/>
    <w:rsid w:val="001C0003"/>
    <w:rsid w:val="001F239D"/>
    <w:rsid w:val="002026DD"/>
    <w:rsid w:val="002139EB"/>
    <w:rsid w:val="00243BE7"/>
    <w:rsid w:val="00274BD7"/>
    <w:rsid w:val="002B4F27"/>
    <w:rsid w:val="00320556"/>
    <w:rsid w:val="003A787C"/>
    <w:rsid w:val="003C131E"/>
    <w:rsid w:val="00454781"/>
    <w:rsid w:val="0045752F"/>
    <w:rsid w:val="00510A52"/>
    <w:rsid w:val="0051149A"/>
    <w:rsid w:val="00596E68"/>
    <w:rsid w:val="005B0DE8"/>
    <w:rsid w:val="005B4D76"/>
    <w:rsid w:val="005E5B16"/>
    <w:rsid w:val="005F0902"/>
    <w:rsid w:val="00661468"/>
    <w:rsid w:val="006646AA"/>
    <w:rsid w:val="00677CEA"/>
    <w:rsid w:val="006841B6"/>
    <w:rsid w:val="006913D1"/>
    <w:rsid w:val="00694031"/>
    <w:rsid w:val="006A0577"/>
    <w:rsid w:val="006C1A98"/>
    <w:rsid w:val="006E0FFF"/>
    <w:rsid w:val="00766E22"/>
    <w:rsid w:val="0078501C"/>
    <w:rsid w:val="007A075F"/>
    <w:rsid w:val="007A2B3A"/>
    <w:rsid w:val="007B70CD"/>
    <w:rsid w:val="007C2D3A"/>
    <w:rsid w:val="008041C7"/>
    <w:rsid w:val="00895E90"/>
    <w:rsid w:val="00917B20"/>
    <w:rsid w:val="00961039"/>
    <w:rsid w:val="00981885"/>
    <w:rsid w:val="00A90FE5"/>
    <w:rsid w:val="00AA2260"/>
    <w:rsid w:val="00AB5C87"/>
    <w:rsid w:val="00B711EA"/>
    <w:rsid w:val="00B820A4"/>
    <w:rsid w:val="00C21633"/>
    <w:rsid w:val="00C219D4"/>
    <w:rsid w:val="00CA24F1"/>
    <w:rsid w:val="00D053B4"/>
    <w:rsid w:val="00D62AFB"/>
    <w:rsid w:val="00DC06C8"/>
    <w:rsid w:val="00DF0ABE"/>
    <w:rsid w:val="00EA151B"/>
    <w:rsid w:val="00F306C5"/>
    <w:rsid w:val="00F31792"/>
    <w:rsid w:val="00F33571"/>
    <w:rsid w:val="00F45BA5"/>
    <w:rsid w:val="00FE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81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981885"/>
  </w:style>
  <w:style w:type="character" w:customStyle="1" w:styleId="hyperlinkchar">
    <w:name w:val="hyperlink__char"/>
    <w:basedOn w:val="DefaultParagraphFont"/>
    <w:rsid w:val="00981885"/>
  </w:style>
  <w:style w:type="paragraph" w:styleId="NormalWeb">
    <w:name w:val="Normal (Web)"/>
    <w:basedOn w:val="Normal"/>
    <w:uiPriority w:val="99"/>
    <w:semiHidden/>
    <w:unhideWhenUsed/>
    <w:rsid w:val="00981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020table">
    <w:name w:val="normal_0020table"/>
    <w:basedOn w:val="Normal"/>
    <w:rsid w:val="00981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981885"/>
  </w:style>
  <w:style w:type="character" w:styleId="CommentReference">
    <w:name w:val="annotation reference"/>
    <w:basedOn w:val="DefaultParagraphFont"/>
    <w:uiPriority w:val="99"/>
    <w:semiHidden/>
    <w:unhideWhenUsed/>
    <w:rsid w:val="00785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0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0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9D"/>
  </w:style>
  <w:style w:type="paragraph" w:styleId="Footer">
    <w:name w:val="footer"/>
    <w:basedOn w:val="Normal"/>
    <w:link w:val="FooterChar"/>
    <w:uiPriority w:val="99"/>
    <w:unhideWhenUsed/>
    <w:rsid w:val="001F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9D"/>
  </w:style>
  <w:style w:type="character" w:styleId="PlaceholderText">
    <w:name w:val="Placeholder Text"/>
    <w:basedOn w:val="DefaultParagraphFont"/>
    <w:uiPriority w:val="99"/>
    <w:semiHidden/>
    <w:rsid w:val="001F23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ublicschools.org/acre/standards/common-c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2011-08-22T00:00:00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Links>
    <vt:vector size="6" baseType="variant"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http://www.ncpublicschools.org/acre/standards/common-core/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acallipare</dc:creator>
  <cp:keywords/>
  <dc:description/>
  <cp:lastModifiedBy>jjacobs2</cp:lastModifiedBy>
  <cp:revision>2</cp:revision>
  <cp:lastPrinted>2011-08-24T18:36:00Z</cp:lastPrinted>
  <dcterms:created xsi:type="dcterms:W3CDTF">2011-12-20T17:53:00Z</dcterms:created>
  <dcterms:modified xsi:type="dcterms:W3CDTF">2011-12-20T17:53:00Z</dcterms:modified>
</cp:coreProperties>
</file>